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72945-2021 i Västerviks kommun</w:t>
      </w:r>
    </w:p>
    <w:p>
      <w:r>
        <w:t>Denna tillsynsbegäran behandlar höga naturvärden i avverkningsanmälan A 72945-2021 i Västerviks kommun som inkom 2021-12-17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459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294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459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6413692, E 578588 i SWEREF 99 TM.</w:t>
      </w:r>
    </w:p>
    <w:p>
      <w:r>
        <w:t>I avverkningsanmälan finns fynd av 2 naturvårdsarter, varav 1 är rödlistad, 2 är typiska (T) och 1 är signalart (S): veckticka (NT, T) och rävticka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Veckticka (NT)</w:t>
      </w:r>
      <w:r>
        <w:t xml:space="preserve"> förekommer främst i äldre naturskogsartad löv- och blandskog i sena åldersstadier med gamla, döende och döda aspar. Avverkning eller gallring av aspbestånd är ett hot och aspskogar och asprika blandskogar måste bevaras i högre utsträckning än hittills. Sumpskog med asp och sälg har ett särskilt högt naturvärde och bör skyddas helt från skogsbruk. Veckticka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p>
      <w:r>
        <w:rPr>
          <w:b/>
        </w:rPr>
        <w:t>Rävticka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