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31431-2024 i Västerviks kommun</w:t>
      </w:r>
    </w:p>
    <w:p>
      <w:r>
        <w:t>Detta dokument behandlar höga naturvärden i avverkningsanmälan A 31431-2024 i Västerviks kommun. Denna avverkningsanmälan inkom 2024-08-01 00:00:00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ekticka (NT), skeppsvarvsfluga (NT), fällmossa (S), myskmadra (S) och trädporella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0650"/>
            <wp:docPr id="1" name="Picture 1"/>
            <wp:cNvGraphicFramePr>
              <a:graphicFrameLocks noChangeAspect="1"/>
            </wp:cNvGraphicFramePr>
            <a:graphic>
              <a:graphicData uri="http://schemas.openxmlformats.org/drawingml/2006/picture">
                <pic:pic>
                  <pic:nvPicPr>
                    <pic:cNvPr id="0" name="A 31431-2024 karta.png"/>
                    <pic:cNvPicPr/>
                  </pic:nvPicPr>
                  <pic:blipFill>
                    <a:blip r:embed="rId16"/>
                    <a:stretch>
                      <a:fillRect/>
                    </a:stretch>
                  </pic:blipFill>
                  <pic:spPr>
                    <a:xfrm>
                      <a:off x="0" y="0"/>
                      <a:ext cx="5486400" cy="461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6398920, E 593894 i SWEREF 99 TM.</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Fällmossa</w:t>
      </w:r>
      <w:r>
        <w:t xml:space="preserve"> indikerar i stort sett alltid områden med höga naturvärden, skog med lång kontinuitet, gamla träd, hög luftfuktighet och stabila förhållanden. Sporkapslar finnar man enbart på extra skyddsvärda lokaler. Fällmossa är typisk art för </w:t>
      </w:r>
      <w:r>
        <w:rPr>
          <w:i/>
        </w:rPr>
        <w:t xml:space="preserve">9020 Nordlig ädellövskog, 9110 Näringsfattig bokskog, 9130 Näringsrik bokskog, 9160 Näringsrik ekskog, 9180 Ädellövskog i branter </w:t>
      </w:r>
      <w:r>
        <w:t>och</w:t>
      </w:r>
      <w:r>
        <w:rPr>
          <w:i/>
        </w:rPr>
        <w:t xml:space="preserve"> 9190 Näringsfattig ekskog</w:t>
      </w:r>
      <w:r>
        <w:t xml:space="preserve"> (SLU Artdatabanken, 2024; Nitare &amp; Skogsstyrelsen, 2019).</w:t>
      </w:r>
    </w:p>
    <w:p>
      <w:r>
        <w:rPr>
          <w:b/>
        </w:rPr>
        <w:t xml:space="preserve">Myskmadra </w:t>
      </w:r>
      <w:r>
        <w:t xml:space="preserve">är en bra signalart i hela sitt utbredningsområde i såväl lövskogar, lundar som kalkbarrskogar. Särskilt kräsen tycks den vara i norra delen av sitt utbredningsområde. Många naturliga växtplatser är av reliktkaraktär och växten indikerar här långvarig ekologisk kontinuitet. Arten är känslig för såväl hårt bete som dagens storskaliga skogsbruksmetoder. Myskmadra är typisk art för </w:t>
      </w:r>
      <w:r>
        <w:rPr>
          <w:i/>
        </w:rPr>
        <w:t xml:space="preserve">9050 Näringsrik granskog, 9020 Nordlig ädellövskog, 9130 Näringsrik bokskog </w:t>
      </w:r>
      <w:r>
        <w:t xml:space="preserve">och </w:t>
      </w:r>
      <w:r>
        <w:rPr>
          <w:i/>
        </w:rPr>
        <w:t xml:space="preserve">9160 Näringsrik ekskog </w:t>
      </w:r>
      <w:r>
        <w:t>(Nitare &amp; Skogsstyrelsen, 2019; SLU Artdatabanken, 2025).</w:t>
      </w:r>
    </w:p>
    <w:p>
      <w:r>
        <w:rPr>
          <w:b/>
        </w:rPr>
        <w:t xml:space="preserve">Trädporella </w:t>
      </w:r>
      <w:r>
        <w:t xml:space="preserve">är i stora delar av landet en utmärkt signal på skog med höga naturvärden och ofta påträffas många ovanliga och rödlistade arter på dess lokaler. Den växer huvudsakligen på grova ädellövträd i skuggiga och fuktiga miljöer, främst i slutna ädellövskogar och bergbranter med inslag av kalk- eller grönsten. Trädporella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