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58458-2022 i Västerviks kommun</w:t>
      </w:r>
    </w:p>
    <w:p>
      <w:r>
        <w:t>Detta klagomål behandlar höga naturvärden i avverkningsanmälan A 58458-2022 i Västerviks kommun som inkom 2022-12-07 och omfattar 3,3 ha.</w:t>
      </w:r>
    </w:p>
    <w:p>
      <w:pPr>
        <w:pStyle w:val="Caption"/>
      </w:pPr>
      <w:r>
        <w:drawing>
          <wp:inline xmlns:a="http://schemas.openxmlformats.org/drawingml/2006/main" xmlns:pic="http://schemas.openxmlformats.org/drawingml/2006/picture">
            <wp:extent cx="4829469" cy="5724000"/>
            <wp:docPr id="1" name="Picture 1"/>
            <wp:cNvGraphicFramePr>
              <a:graphicFrameLocks noChangeAspect="1"/>
            </wp:cNvGraphicFramePr>
            <a:graphic>
              <a:graphicData uri="http://schemas.openxmlformats.org/drawingml/2006/picture">
                <pic:pic>
                  <pic:nvPicPr>
                    <pic:cNvPr id="0" name="A 58458-2022 karta.png"/>
                    <pic:cNvPicPr/>
                  </pic:nvPicPr>
                  <pic:blipFill>
                    <a:blip r:embed="rId16"/>
                    <a:stretch>
                      <a:fillRect/>
                    </a:stretch>
                  </pic:blipFill>
                  <pic:spPr>
                    <a:xfrm>
                      <a:off x="0" y="0"/>
                      <a:ext cx="4829469" cy="5724000"/>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6410706, E 578641 i SWEREF 99 TM.</w:t>
      </w:r>
    </w:p>
    <w:p>
      <w:r>
        <w:t>I och inom 22 meter från avverkningsanmälan finns fynd av 36 naturvårdsarter, varav 17 är rödlistade, 21 är fridlysta, 10 är typiska (T) och 4 är signalarter (S): brandnäva (EN), bredbrämad bastardsvärmare (VU), brunfläckig pärlemorfjäril (VU), knärot (VU, T, §8), mindre bastardsvärmare (VU), silverblåvinge (VU), smalsprötad bastardsvärmare (VU), duvhök (NT, §4), grönsångare (NT, §4), gulsparv (NT, §4), järnsparv (NT, §4), kandelabersvamp (NT, T), klubbsprötad bastardsvärmare (NT), mindre tåtelsmygare (NT), silversmygare (NT), svedjenäva (NT, T), vitfläckig guldvinge (NT), grovticka (S, T), grönpyrola (S, T), purpurknipprot (S, §8), tibast (S, T), blåsippa (T, §9), mattlummer (T, §9), spillkråka (T, §4), tjäder (T, §4), gröngöling (§4), havsörn (§4), kungsfågel (§4), röd glada (§4), skogsduva (§4), törnskata (§4), huggorm (§6), kopparödla (§6), skogsödla (§6), grönvit nattviol (§8) och kärrknipprot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Brandnäva (EN)</w:t>
      </w:r>
      <w:r>
        <w:t xml:space="preserve"> är en starkt hotad art som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2.14 ha med buffertzonerna och får av detta skäl inte avverkas.</w:t>
      </w:r>
    </w:p>
    <w:p>
      <w:pPr>
        <w:pStyle w:val="Caption"/>
      </w:pPr>
      <w:r>
        <w:drawing>
          <wp:inline xmlns:a="http://schemas.openxmlformats.org/drawingml/2006/main" xmlns:pic="http://schemas.openxmlformats.org/drawingml/2006/picture">
            <wp:extent cx="5486400" cy="5299749"/>
            <wp:docPr id="2" name="Picture 2"/>
            <wp:cNvGraphicFramePr>
              <a:graphicFrameLocks noChangeAspect="1"/>
            </wp:cNvGraphicFramePr>
            <a:graphic>
              <a:graphicData uri="http://schemas.openxmlformats.org/drawingml/2006/picture">
                <pic:pic>
                  <pic:nvPicPr>
                    <pic:cNvPr id="0" name="A 58458-2022 karta knärot.png"/>
                    <pic:cNvPicPr/>
                  </pic:nvPicPr>
                  <pic:blipFill>
                    <a:blip r:embed="rId17"/>
                    <a:stretch>
                      <a:fillRect/>
                    </a:stretch>
                  </pic:blipFill>
                  <pic:spPr>
                    <a:xfrm>
                      <a:off x="0" y="0"/>
                      <a:ext cx="5486400" cy="529974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6410706, E 578641 i SWEREF 99 TM.</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Svedjenäva (NT)</w:t>
      </w:r>
      <w:r>
        <w:t xml:space="preserve"> växer på brandplatser, vid kolbottnar och på annan vegetationsfri mark som nyligen omrörts och blivit uppvärmd av solen. Kolningen och svedjebrukets upphörande, liksom minskad areal av skogsmark som utsätts för skogsbrand eller hyggesbränning har medfört att antalet lämpliga lokaler starkt minskat. Svedjenäva är typisk art för </w:t>
      </w:r>
      <w:r>
        <w:rPr>
          <w:i/>
        </w:rPr>
        <w:t xml:space="preserve">9010 Taiga </w:t>
      </w:r>
      <w:r>
        <w:t>(SLU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Mattlummer (§9)</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Röd glada (§4)</w:t>
      </w:r>
      <w:r>
        <w:t xml:space="preserve"> är fridlyst enligt 4§ artskyddsförordningen och upptagen i bilaga 1 EU:s fågeldirektiv. Den häckar gärna i omväxlande landskap med mosaik av öppna marker och skogar. Tidigare studier har visat en förkärlek för att häcka nära sjöar, och häckningsframgången var också högre hos par som häckade nära vatten. Boet läggs i träd, ofta högt och vanligen nära skogsbryn. Missgynnas av skogliga åtgärder som lämnar boet allt för exponerat, främst genom för smala skyddszoner och för omfattande gallring. Lämna en skyddszon kring boplatser vid avverkning eller andra skogliga åtgärder. Bredden på skyddszonen beror på platsen, men som tumregel ska den ska vara så bred att boplatsen inte är väsentligt mer exponerad för insyn än tidigare. Spara samtliga träd med större risbon, även sådana där boet ser obebott ut. Avstå att avverka äldre lövdominerade bestånd, främst i anslutning till öppen jordbruksmark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21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17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