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804-2023 i Västerviks kommun</w:t>
      </w:r>
    </w:p>
    <w:p>
      <w:r>
        <w:t>Denna tillsynsbegäran behandlar höga naturvärden i avverkningsanmälan A 804-2023 i Västerviks kommun som inkom 2023-01-05 och omfattar 5,2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862345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804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86234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6398800, E 578050 i SWEREF 99 TM.</w:t>
      </w:r>
    </w:p>
    <w:p>
      <w:r>
        <w:t>I avverkningsanmälan finns fynd av 3 naturvårdsarter, varav 2 är rödlistade, 1 är fridlyst, 1 är typisk (T) och 1 är signalart (S): violett fingersvamp (VU), ekticka (NT, T) och ekoxe (S, §6).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Violett fingersvamp (VU) </w:t>
      </w:r>
      <w:r>
        <w:t>har ett okänt levnadssätt och växer i örtrika och magra betesmarker, hackslåttängar och örtbackar samt i park- och örtrika skogsmiljöer. Ett extensivt bete av gles skogsmark och av mosaikartade trädklädda miljöer med omväxlande gräs-/örtrika gläntor där arten förekommer är mycket gynnsamt och bör eftersträvas. Skogsmiljöer av den typ arten trivs i har ofta ett stort skyddsvärde och eventuellt skogsbruk måste på dessa platser bedrivas skonsamt. Violett fingersvamp</w:t>
      </w:r>
      <w:r>
        <w:rPr>
          <w:b/>
        </w:rPr>
        <w:t xml:space="preserve"> </w:t>
      </w:r>
      <w:r>
        <w:t>är globalt rödlistad som sårbar (VU) vilket innebär att Sverige har ett internationellt ansvar för arten (SLU Artdatabanken, 2024; IUCN, 2019).</w:t>
      </w:r>
    </w:p>
    <w:p>
      <w:r>
        <w:rPr>
          <w:b/>
        </w:rPr>
        <w:t>Ekticka (NT)</w:t>
      </w:r>
      <w:r>
        <w:t xml:space="preserve"> påträffas i löv- och blandskog och hagmark där den växer på levande oftast äldre eller senvuxna ekar. Minskningstakten för den svenska populationen har uppgått till 15 % under de senaste 50 åren och bedöms vara nära gränsvärdet för Sårbar (VU). Ekticka är typisk art för </w:t>
      </w:r>
      <w:r>
        <w:rPr>
          <w:i/>
        </w:rPr>
        <w:t xml:space="preserve">9020 Nordlig ädellövskog </w:t>
      </w:r>
      <w:r>
        <w:t>(SLU Artdatabanken, 2025).</w:t>
      </w:r>
    </w:p>
    <w:p>
      <w:r>
        <w:rPr>
          <w:b/>
        </w:rPr>
        <w:t xml:space="preserve">Ekoxe (§6) </w:t>
      </w:r>
      <w:r>
        <w:t>omfattas av EU:s art- och habitatdirektiv och är fridlyst enligt 6 § artskyddsförordningen.</w:t>
      </w:r>
      <w:r>
        <w:rPr>
          <w:b/>
        </w:rPr>
        <w:t xml:space="preserve"> </w:t>
      </w:r>
      <w:r>
        <w:t>Dess larvutveckling sker i och vid stubbar, i lågor med markkontakt och grövre döda rötter av olika lövträd, även i döda rotdelar på levande träd. I Sverige främst funnen i ek men även några gånger i bok, hassel, ask och björk. Arten lever främst i halvöppna miljöer såsom trädklädda hagmarker eller gles skog, gärna i sydsluttningar. Arten påverkas negativt av brist på grova eller gamla träd och det föreligger indikation på eller misstanke om populationsminskning. Minskningen avser kvalitén på artens habitat 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2026-07-24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