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20366-2024 i Västerviks kommun</w:t>
      </w:r>
    </w:p>
    <w:p>
      <w:r>
        <w:t>Detta klagomål behandlar höga naturvärden i avverkningsanmälan A 20366-2024 i Västerviks kommun som inkom 2024-05-23 och omfattar 0,8 ha.</w:t>
      </w:r>
    </w:p>
    <w:p>
      <w:pPr>
        <w:pStyle w:val="Caption"/>
      </w:pPr>
      <w:r>
        <w:drawing>
          <wp:inline xmlns:a="http://schemas.openxmlformats.org/drawingml/2006/main" xmlns:pic="http://schemas.openxmlformats.org/drawingml/2006/picture">
            <wp:extent cx="5486400" cy="4477732"/>
            <wp:docPr id="1" name="Picture 1"/>
            <wp:cNvGraphicFramePr>
              <a:graphicFrameLocks noChangeAspect="1"/>
            </wp:cNvGraphicFramePr>
            <a:graphic>
              <a:graphicData uri="http://schemas.openxmlformats.org/drawingml/2006/picture">
                <pic:pic>
                  <pic:nvPicPr>
                    <pic:cNvPr id="0" name="A 20366-2024 karta.png"/>
                    <pic:cNvPicPr/>
                  </pic:nvPicPr>
                  <pic:blipFill>
                    <a:blip r:embed="rId16"/>
                    <a:stretch>
                      <a:fillRect/>
                    </a:stretch>
                  </pic:blipFill>
                  <pic:spPr>
                    <a:xfrm>
                      <a:off x="0" y="0"/>
                      <a:ext cx="5486400" cy="4477732"/>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6404751, E 574156 i SWEREF 99 TM.</w:t>
      </w:r>
    </w:p>
    <w:p>
      <w:r>
        <w:t>I och inom 8 meter från avverkningsanmälan finns fynd av 7 naturvårdsarter, varav 4 är rödlistade, 5 är fridlysta, 3 är typiska (T) och 2 är signalarter (S): smalsprötad bastardsvärmare (VU), entita (NT, T, §4), tallticka (NT, T), talltita (NT, §4), ekoxe (S, §6), purpurknipprot (S, §8)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