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18 meter från avverkningsanmälan finns fynd av 9 naturvårdsarter, varav 6 är rödlistade, 5 är fridlysta, 6 är typiska (T) och 1 är signalart (S): ekticka (NT, T), mindre hackspett (NT, T, §4), nötkråka (NT, T, §4), rutskinn (NT, T), svartvit taggsvamp (NT), talltita (NT, §4), blompraktbagge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