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58458-2022 i Västerviks kommun</w:t>
      </w:r>
    </w:p>
    <w:p>
      <w:r>
        <w:t>Detta klagomål behandlar höga naturvärden i avverkningsanmälan A 58458-2022 i Västerviks kommun som inkom 2022-12-07 och omfattar 3,3 ha.</w:t>
      </w:r>
    </w:p>
    <w:p>
      <w:pPr>
        <w:pStyle w:val="Caption"/>
      </w:pPr>
      <w:r>
        <w:drawing>
          <wp:inline xmlns:a="http://schemas.openxmlformats.org/drawingml/2006/main" xmlns:pic="http://schemas.openxmlformats.org/drawingml/2006/picture">
            <wp:extent cx="4822478" cy="5724000"/>
            <wp:docPr id="1" name="Picture 1"/>
            <wp:cNvGraphicFramePr>
              <a:graphicFrameLocks noChangeAspect="1"/>
            </wp:cNvGraphicFramePr>
            <a:graphic>
              <a:graphicData uri="http://schemas.openxmlformats.org/drawingml/2006/picture">
                <pic:pic>
                  <pic:nvPicPr>
                    <pic:cNvPr id="0" name="A 58458-2022 karta.png"/>
                    <pic:cNvPicPr/>
                  </pic:nvPicPr>
                  <pic:blipFill>
                    <a:blip r:embed="rId16"/>
                    <a:stretch>
                      <a:fillRect/>
                    </a:stretch>
                  </pic:blipFill>
                  <pic:spPr>
                    <a:xfrm>
                      <a:off x="0" y="0"/>
                      <a:ext cx="482247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6410706, E 578641 i SWEREF 99 TM.</w:t>
      </w:r>
    </w:p>
    <w:p>
      <w:r>
        <w:t>I och inom 22 meter från avverkningsanmälan finns fynd av 38 naturvårdsarter, varav 17 är rödlistade, 23 är fridlysta, 11 är typiska (T) och 4 är signalarter (S): brandnäva (EN), bredbrämad bastardsvärmare (VU), brunfläckig pärlemorfjäril (VU), knärot (VU, T, §8), mindre bastardsvärmare (VU), silverblåvinge (VU), smalsprötad bastardsvärmare (VU), duvhök (NT, §4), grönsångare (NT, §4), gulsparv (NT, §4), järnsparv (NT, §4), kandelabersvamp (NT, T), klubbsprötad bastardsvärmare (NT), mindre tåtelsmygare (NT), silversmygare (NT), svedjenäva (NT, T), vitfläckig guldvinge (NT), grovticka (S, T), grönpyrola (S, T), purpurknipprot (S, §8), tibast (S, T), blåsippa (T, §9), mattlummer (T, §9), spillkråka (T, §4), stjärtmes (T, §4), tjäder (T, §4), gröngöling (§4), havsörn (§4), kungsfågel (§4), röd glada (§4), skogsduva (§4), sångsvan (§4), törnskata (§4), huggorm (§6), kopparödla (§6), skogsödla (§6), grönvit nattviol (§8)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299749"/>
            <wp:docPr id="2" name="Picture 2"/>
            <wp:cNvGraphicFramePr>
              <a:graphicFrameLocks noChangeAspect="1"/>
            </wp:cNvGraphicFramePr>
            <a:graphic>
              <a:graphicData uri="http://schemas.openxmlformats.org/drawingml/2006/picture">
                <pic:pic>
                  <pic:nvPicPr>
                    <pic:cNvPr id="0" name="A 58458-2022 karta knärot.png"/>
                    <pic:cNvPicPr/>
                  </pic:nvPicPr>
                  <pic:blipFill>
                    <a:blip r:embed="rId17"/>
                    <a:stretch>
                      <a:fillRect/>
                    </a:stretch>
                  </pic:blipFill>
                  <pic:spPr>
                    <a:xfrm>
                      <a:off x="0" y="0"/>
                      <a:ext cx="5486400" cy="52997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6410706, E 578641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