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1516-2023 i Västerviks kommun</w:t>
      </w:r>
    </w:p>
    <w:p>
      <w:r>
        <w:t>Detta klagomål behandlar höga naturvärden i samrådsanmälan S 1516-2023 i Västerviks kommun som inkom 2023-05-09 och omfattar 4,1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S 1516-2023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6419220, E 600829 i SWEREF 99 TM.</w:t>
      </w:r>
    </w:p>
    <w:p>
      <w:r>
        <w:t>I och inom 10 meter från samrådsanmälan finns fynd av 9 naturvårdsarter, varav 6 är rödlistade, 3 är fridlysta, 4 är typiska (T) och 1 är signalart (S): naverlönn (CR), ask (EN), adam och eva (NT, §8), lamellsnäcka (NT), myskmåra (NT, T), tallticka (NT, T), guldlockmossa (S,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Lamellsnäcka (NT) </w:t>
      </w:r>
      <w:r>
        <w:t>kan i Sverige karakteriseras som en mycket krävande, i huvudsak suboceanisk bokskogsart. Den förekommer främst i de nederbördsrika områdena i sydvästra delen av landet, huvudsakligen i fuktiga, mer orörda, ursprungliga bok-, bokbland- och ädellövskogar. Alla typer av skogliga ingrepp, t.o.m. skogsbete, utgör hot mot arten och många lokaler som återbesökts under 2000-talet har varit förstörda av skogsbruk. Eftersom arten är extremt känslig för skogliga ingrepp och förändring av hydrologin är alla typer av skogsbruk, även i mildare former som blädning ett stort hot mot arten. Det samma gäller alla ingrepp som stör kontinuiteten och orördheten i markförnaskiktet, även skogsbete. Alla åtgärder som ändrar hydrologin mot torrare förhållanden, exempelvis skogsdikning, utgör allvarliga hot. Områden med kända populationer bör i så stor omfattning som möjligt skyddas genom reservatsbildning. Lamellsnäcka är globalt rödlistad som sårbar (VU) vilket innebär att Sverige har ett internationellt ansvar för arten (SLU Artdatabanken, 2026; IUCN, 2025).</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