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4306-2026 i Västerviks kommun</w:t>
      </w:r>
    </w:p>
    <w:p>
      <w:r>
        <w:t>Detta dokument behandlar höga naturvärden i avverkningsanmälan A 4306-2026 i Västerviks kommun. Denna avverkningsanmälan inkom 2026-01-23 10:27:10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kungsfågel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4306-2026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6391574, E 579817 i SWEREF 99 TM.</w:t>
      </w:r>
    </w:p>
    <w:p>
      <w:pPr>
        <w:pStyle w:val="Heading1"/>
      </w:pPr>
      <w:r>
        <w:t>Fridlysta arter</w:t>
      </w:r>
    </w:p>
    <w:p>
      <w:r>
        <w:t>Följande fridlysta arter har sina livsmiljöer och växtplatser i den avverkningsanmälda skogen: talltita (NT, §4), kungsfågel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Mattlummer (§9)</w:t>
      </w:r>
      <w:r>
        <w:t xml:space="preserve"> är typisk art för </w:t>
      </w:r>
      <w:r>
        <w:rPr>
          <w:i/>
        </w:rPr>
        <w:t xml:space="preserve">9010 Taiga </w:t>
      </w:r>
      <w:r>
        <w:t>(SLU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