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1521-2023 i Västerviks kommun</w:t>
      </w:r>
    </w:p>
    <w:p>
      <w:r>
        <w:t>Denna tillsynsbegäran behandlar höga naturvärden i samrådsanmälan S 1521-2023 i Västerviks kommun som inkom 2023-05-09 och omfattar 4,3 ha.</w:t>
      </w:r>
    </w:p>
    <w:p>
      <w:pPr>
        <w:pStyle w:val="Caption"/>
      </w:pPr>
      <w:r>
        <w:drawing>
          <wp:inline xmlns:a="http://schemas.openxmlformats.org/drawingml/2006/main" xmlns:pic="http://schemas.openxmlformats.org/drawingml/2006/picture">
            <wp:extent cx="5486400" cy="5649478"/>
            <wp:docPr id="1" name="Picture 1"/>
            <wp:cNvGraphicFramePr>
              <a:graphicFrameLocks noChangeAspect="1"/>
            </wp:cNvGraphicFramePr>
            <a:graphic>
              <a:graphicData uri="http://schemas.openxmlformats.org/drawingml/2006/picture">
                <pic:pic>
                  <pic:nvPicPr>
                    <pic:cNvPr id="0" name="S 1521-2023 karta.png"/>
                    <pic:cNvPicPr/>
                  </pic:nvPicPr>
                  <pic:blipFill>
                    <a:blip r:embed="rId16"/>
                    <a:stretch>
                      <a:fillRect/>
                    </a:stretch>
                  </pic:blipFill>
                  <pic:spPr>
                    <a:xfrm>
                      <a:off x="0" y="0"/>
                      <a:ext cx="5486400" cy="5649478"/>
                    </a:xfrm>
                    <a:prstGeom prst="rect"/>
                  </pic:spPr>
                </pic:pic>
              </a:graphicData>
            </a:graphic>
          </wp:inline>
        </w:drawing>
      </w:r>
    </w:p>
    <w:p>
      <w:pPr>
        <w:pStyle w:val="Caption"/>
        <w:spacing w:after="240"/>
      </w:pPr>
      <w:r>
        <w:t>Figur 1. Fyndplatser för naturvårdsarter i och inom 17 meter från samrådsanmälan. Markörer utan svart kant är placerade på fyndplatsen. Markörer med svart kant är placerade vid sidan av fyndplatsen och har ett svart streck som visar fyndplatsens exakta position. Kartans mittpunktskoordinat är N 6401693, E 595920 i SWEREF 99 TM.</w:t>
      </w:r>
    </w:p>
    <w:p>
      <w:r>
        <w:t>I och inom 17 meter från samrådsanmälan finns fynd av 5 naturvårdsarter, varav 3 är rödlistade, 2 är fridlysta, 4 är typiska (T) och 2 är signalarter (S): mindre hackspett (NT, T, §4), rosa skärelav (NT, T), tallticka (NT, T), bokoxe (S, T) och ekoxe (S,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Rosa skärelav (NT)</w:t>
      </w:r>
      <w:r>
        <w:t xml:space="preserve"> är en sällsynt skorplav som är spridd från Skåne till Lule Lappmark. I södra Sverige förekommer den i trädbärande marker med lång trädkontinuitet, framför allt på ek och i norra Sverige förekommer den i kontinuitetsskog med hög luftfuktighet, främst på sälg. Särskilt rika lokaler med rosa skärelav måste skyddas. Alla skogar med arten bör undantas från slutavverkning. Rosa skärelav är typisk art för </w:t>
      </w:r>
      <w:r>
        <w:rPr>
          <w:i/>
        </w:rPr>
        <w:t xml:space="preserve">9160 Näringsrik ekskog </w:t>
      </w:r>
      <w:r>
        <w:t>och</w:t>
      </w:r>
      <w:r>
        <w:rPr>
          <w:i/>
        </w:rPr>
        <w:t xml:space="preserve"> 9190 Näringsfattig ekskog</w:t>
      </w:r>
      <w:r>
        <w:t xml:space="preserve"> (SLU Artdatabanken, 2024;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Bokoxe</w:t>
      </w:r>
      <w:r>
        <w:t xml:space="preserve"> är en skalbagge vars larvutveckling sker i måttligt fuktig, oftast vitrötad ved i grova stubbar och lågor av lövträd, i Norden främst bok men även ek, avenbok, alm och ask. Bokoxe är typisk art för </w:t>
      </w:r>
      <w:r>
        <w:rPr>
          <w:i/>
        </w:rPr>
        <w:t>9130 Näringsrik bokskog</w:t>
      </w:r>
      <w:r>
        <w:t xml:space="preserve"> (SLU Artdatabanken, 2025).</w:t>
      </w:r>
    </w:p>
    <w:p>
      <w:r>
        <w:rPr>
          <w:b/>
        </w:rPr>
        <w:t xml:space="preserve">Ekoxe (§6) </w:t>
      </w:r>
      <w:r>
        <w:t>omfattas av EU:s art- och habitatdirektiv och är fridlyst enligt 6 § artskyddsförordningen.</w:t>
      </w:r>
      <w:r>
        <w:rPr>
          <w:b/>
        </w:rPr>
        <w:t xml:space="preserve"> </w:t>
      </w:r>
      <w:r>
        <w:t>Dess larvutveckling sker i och vid stubbar, i lågor med markkontakt och grövre döda rötter av olika lövträd, även i döda rotdelar på levande träd. I Sverige främst funnen i ek men även några gånger i bok, hassel, ask och björk. Arten lever främst i halvöppna miljöer såsom trädklädda hagmarker eller gles skog, gärna i sydsluttningar. Arten påverkas negativt av brist på grova eller gamla träd och det föreligger indikation på eller misstanke om populationsminskning. Minskningen avser kvalitén på artens habitat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