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som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36 naturvårdsarter hittats: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9095" cy="5688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799095"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2"/>
      </w:pPr>
      <w:r>
        <w:t>Fridlysta arter</w:t>
      </w:r>
    </w:p>
    <w:p>
      <w:r>
        <w:t>Följande fridlysta arter har sina livsmiljöer och växtplatser i den avverkningsanmälda skogen: knärot (VU, T, §8), duvhök (NT, §4), grönsångare (NT, §4), gulsparv (NT, §4), järnsparv (NT, §4), purpurknipprot (S, §8), blåsippa (T, §9), mattlummer (T, §9), spillkråka (T, §4), tjäder (T, §4), gröngöling (§4), havsörn (§4), kungsfågel (§4), röd glada (§4), skogsduva (§4), törnskata (§4), huggorm (§6), kopparödla (§6), skogsödla (§6),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Mattlummer (§9)</w:t>
      </w:r>
      <w:r>
        <w:t xml:space="preserve"> är typisk art för </w:t>
      </w:r>
      <w:r>
        <w:rPr>
          <w:i/>
        </w:rPr>
        <w:t xml:space="preserve">9010 Taiga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