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37886-2022 i Vimmerby kommun</w:t>
      </w:r>
    </w:p>
    <w:p>
      <w:r>
        <w:t>Detta dokument behandlar höga naturvärden i avverkningsanmälan A 37886-2022 i Vimmerby kommun. Denna avverkningsanmälan inkom 2022-09-07 00:00:00 och omfattar 19,2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ask (EN), gulvit blekspik (VU), vågticka (VU), dvärgbägarlav (NT), ekticka (NT), gransotdyna (NT), grön aspvedbock (NT), rosa skärelav (NT), spillkråka (NT, §4), barkkornlav (S), barkticka (S), blodticka (S), blomskägglav (S), bårdlav (S), dvärgtufs (S), ekskinn (S), fällmossa (S), grön sköldmossa (S, §8), gulnål (S), luddlav (S), nästlav (S), rostfläck (S), stubbspretmossa (S), trubbfjädermossa (S), vätteros (S), vårärt (S), gröngöling (§4), sparvuggla (§4), hårklomossa (§8)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3276"/>
            <wp:docPr id="1" name="Picture 1"/>
            <wp:cNvGraphicFramePr>
              <a:graphicFrameLocks noChangeAspect="1"/>
            </wp:cNvGraphicFramePr>
            <a:graphic>
              <a:graphicData uri="http://schemas.openxmlformats.org/drawingml/2006/picture">
                <pic:pic>
                  <pic:nvPicPr>
                    <pic:cNvPr id="0" name="A 37886-2022 karta.png"/>
                    <pic:cNvPicPr/>
                  </pic:nvPicPr>
                  <pic:blipFill>
                    <a:blip r:embed="rId16"/>
                    <a:stretch>
                      <a:fillRect/>
                    </a:stretch>
                  </pic:blipFill>
                  <pic:spPr>
                    <a:xfrm>
                      <a:off x="0" y="0"/>
                      <a:ext cx="5486400" cy="489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6377238, E 569640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Blomskägglav är typisk art för </w:t>
      </w:r>
      <w:r>
        <w:rPr>
          <w:i/>
        </w:rPr>
        <w:t>9160 Näringsrik ekskog</w:t>
      </w:r>
      <w:r>
        <w:t xml:space="preserve"> och </w:t>
      </w:r>
      <w:r>
        <w:rPr>
          <w:i/>
        </w:rPr>
        <w:t>9190 Näringsfattig ekskog</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Ekskinn är typisk art för </w:t>
      </w:r>
      <w:r>
        <w:rPr>
          <w:i/>
        </w:rPr>
        <w:t xml:space="preserve">9190 Näringsfattig ekskog </w:t>
      </w:r>
      <w:r>
        <w:t>(SLU Artdatabanken, 2024;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Grön aspvedbock</w:t>
      </w:r>
      <w:r>
        <w:t xml:space="preserve"> är en skalbagge vars larvutveckling sker under tjock bark på nyligen döda stammar och grova grenar (&gt;5 cm diameter) av lövträd, i Sverige nästan uteslutande asp. Fullbildade individer är skymnings- och nattaktiva och dras till ljus. Arten påverkas negativt av brist på grova eller gamla träd och det föreligger indikation på eller misstanke om populationsminskning. Minskningen avser kvalitén på artens habitat och antalet lokalområden (SLU Artdatabanken, 2026).</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Fridlysta arter</w:t>
      </w:r>
    </w:p>
    <w:p>
      <w:r>
        <w:t>Följande fridlysta arter har sina livsmiljöer och växtplatser i den avverkningsanmälda skogen: spillkråka (NT, §4), grön sköldmossa (S, §8), gröngöling (§4), sparvuggla (§4), hårklomossa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Hårklomossa (§8)</w:t>
      </w:r>
      <w:r>
        <w:t xml:space="preserve"> omfattas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