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1960-2023 i Vimmerby kommun</w:t>
      </w:r>
    </w:p>
    <w:p>
      <w:r>
        <w:t>Detta klagomål behandlar höga naturvärden i avverkningsanmälan A 1960-2023 i Vimmerby kommun som inkom 2023-01-13 och omfattar 4,2 ha.</w:t>
      </w:r>
    </w:p>
    <w:p>
      <w:pPr>
        <w:pStyle w:val="Caption"/>
      </w:pPr>
      <w:r>
        <w:drawing>
          <wp:inline xmlns:a="http://schemas.openxmlformats.org/drawingml/2006/main" xmlns:pic="http://schemas.openxmlformats.org/drawingml/2006/picture">
            <wp:extent cx="5486400" cy="5335571"/>
            <wp:docPr id="1" name="Picture 1"/>
            <wp:cNvGraphicFramePr>
              <a:graphicFrameLocks noChangeAspect="1"/>
            </wp:cNvGraphicFramePr>
            <a:graphic>
              <a:graphicData uri="http://schemas.openxmlformats.org/drawingml/2006/picture">
                <pic:pic>
                  <pic:nvPicPr>
                    <pic:cNvPr id="0" name="A 1960-2023 karta.png"/>
                    <pic:cNvPicPr/>
                  </pic:nvPicPr>
                  <pic:blipFill>
                    <a:blip r:embed="rId16"/>
                    <a:stretch>
                      <a:fillRect/>
                    </a:stretch>
                  </pic:blipFill>
                  <pic:spPr>
                    <a:xfrm>
                      <a:off x="0" y="0"/>
                      <a:ext cx="5486400" cy="5335571"/>
                    </a:xfrm>
                    <a:prstGeom prst="rect"/>
                  </pic:spPr>
                </pic:pic>
              </a:graphicData>
            </a:graphic>
          </wp:inline>
        </w:drawing>
      </w:r>
    </w:p>
    <w:p>
      <w:pPr>
        <w:pStyle w:val="Caption"/>
        <w:spacing w:after="240"/>
      </w:pPr>
      <w:r>
        <w:t>Figur 1. Fyndplatser för naturvårdsarter i och inom 12 meter från avverkningsanmälan. Markörer utan svart kant är placerade på fyndplatsen. Markörer med svart kant är placerade vid sidan av fyndplatsen och har ett svart streck som visar fyndplatsens exakta position. Kartans mittpunktskoordinat är N 6383094, E 541430 i SWEREF 99 TM.</w:t>
      </w:r>
    </w:p>
    <w:p>
      <w:r>
        <w:t>I och inom 12 meter från avverkningsanmälan finns fynd av 8 naturvårdsarter, varav 4 är rödlistade, 1 är fridlyst, 8 är typiska (T) och 3 är signalarter (S): dropptaggsvamp (NT, T), tallticka (NT, T), ullticka (NT, T), vedskivlav (NT, T), bågpraktmossa (S, T), guldlockmossa (S, T), tibast (S, T) och blåsippa (T,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r>
        <w:rPr>
          <w:b/>
        </w:rPr>
        <w:t xml:space="preserve">Tallticka (NT) </w:t>
      </w:r>
      <w:r>
        <w:t xml:space="preserve">uppträder först på tallar som är 100–150 år gamla men är vanligast på träd som är runt 150–200 år eller äldre. I skogslandskapet är den främst knuten till tallnaturskogar och restbiotoper med biologiskt gamla träd och signalerar vanligtvis skyddsvärda tallbestånd med höga naturvärden. Tallticka är typisk art för </w:t>
      </w:r>
      <w:r>
        <w:rPr>
          <w:i/>
        </w:rPr>
        <w:t xml:space="preserve">9010 Taiga </w:t>
      </w:r>
      <w:r>
        <w:t xml:space="preserve">och </w:t>
      </w:r>
      <w:r>
        <w:rPr>
          <w:i/>
        </w:rPr>
        <w:t>9060 Åsbarrskog</w:t>
      </w:r>
      <w:r>
        <w:t xml:space="preserve"> (SLU Artdatabanken, 2023; Nitare &amp; Skogsstyrelsen, 2019).</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Vedskivlav är typisk art för </w:t>
      </w:r>
      <w:r>
        <w:rPr>
          <w:i/>
        </w:rPr>
        <w:t>9010 Taiga</w:t>
      </w:r>
      <w:r>
        <w:t xml:space="preserve"> (SLU Artdatabanken, 2024).</w:t>
      </w:r>
    </w:p>
    <w:p>
      <w:r>
        <w:rPr>
          <w:b/>
        </w:rPr>
        <w:t xml:space="preserve">Bågpraktmossa </w:t>
      </w:r>
      <w:r>
        <w:t xml:space="preserve">växer i skuggiga och våta skogsmiljöer, bland annat i bäckdalar, alsumpskogar, strandskogar och örtrika gransumpskogar. Den är i hela sitt utbredningsområde en bra signalart för gransumpskogar som ofta hyser andra, mer ovanliga och rödlistade arter. Bågpraktmossa indikerar skogsmark som har ostörd hydrologi och kalkfattig mark och är typisk art för </w:t>
      </w:r>
      <w:r>
        <w:rPr>
          <w:i/>
        </w:rPr>
        <w:t xml:space="preserve">9080 Lövsumpskog, 9750 Svämlövskog </w:t>
      </w:r>
      <w:r>
        <w:t xml:space="preserve">och </w:t>
      </w:r>
      <w:r>
        <w:rPr>
          <w:i/>
        </w:rPr>
        <w:t>7160 Källor och källkärr</w:t>
      </w:r>
      <w:r>
        <w:t xml:space="preserve"> (SLU Artdatabanken, 2025; Nitare &amp; Skogsstyrelsen, 2019).</w:t>
      </w:r>
    </w:p>
    <w:p>
      <w:r>
        <w:rPr>
          <w:b/>
        </w:rPr>
        <w:t>Guldlockmossa</w:t>
      </w:r>
      <w:r>
        <w:t xml:space="preserve"> växer på solexponerade, basiska klippor och block samt på skrovlig bark vid basen av ädellövträd med rik bark, ofta på gamla ekar, bokar och andra ädellövträd som står öppet i bryn. Särskilt högt signalvärde har den i norra Sverige där den sällsynt kan påträffas i sydväxtberg på klippor med basiska bergarter. Guldlockmossa är typisk art för </w:t>
      </w:r>
      <w:r>
        <w:rPr>
          <w:i/>
        </w:rPr>
        <w:t xml:space="preserve">9110 Näringsfattig bokskog, 9160 Näringsrik ekskog, 9180 Ädellövskog i branter </w:t>
      </w:r>
      <w:r>
        <w:t xml:space="preserve">och </w:t>
      </w:r>
      <w:r>
        <w:rPr>
          <w:i/>
        </w:rPr>
        <w:t xml:space="preserve">9190 Näringsfattig ekskog </w:t>
      </w:r>
      <w:r>
        <w:t>(Nitare &amp; Skogsstyrelsen, 2019; SLU Artdatabanken, 2025).</w:t>
      </w:r>
    </w:p>
    <w:p>
      <w:r>
        <w:rPr>
          <w:b/>
        </w:rPr>
        <w:t>Tibast</w:t>
      </w:r>
      <w:r>
        <w:t xml:space="preserve"> är en kalkgynnad buske som växer på mullrik, frisk eller svagt fuktig mark, exempelvis i gamla kalkgranskogar, lövträdslundar, varma källpåverkade sluttningar och exklusiva biotoper kopplade till vattendrag. Förekomster i gammal skog visar på höga naturvärden och bör alltid noteras i samband med naturvärdesinventeringar. Tibast är typisk art för </w:t>
      </w:r>
      <w:r>
        <w:rPr>
          <w:i/>
        </w:rPr>
        <w:t>9050 Näringsrik granskog</w:t>
      </w:r>
      <w:r>
        <w:t xml:space="preserve"> och värdväxt för de två fjärilsarterna större tibastmal och brun tibastmal (CR) (SLU Artdatabanken, 2024; Nitare &amp; Skogsstyrelsen, 2019).</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8 naturvårdsarter varav 4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2026-10-22</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