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22 meter från avverkningsanmälan finns fynd av 2 naturvårdsarter, varav 1 är rödlistad och 1 är fridlyst: tallfingersvamp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