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23602-2023 i Vimmerby kommun</w:t>
      </w:r>
    </w:p>
    <w:p>
      <w:r>
        <w:t>Detta klagomål behandlar höga naturvärden i avverkningsanmälan A 23602-2023 i Vimmerby kommun som inkom 2023-05-31 och omfattar 1,6 ha.</w:t>
      </w:r>
    </w:p>
    <w:p>
      <w:pPr>
        <w:pStyle w:val="Caption"/>
      </w:pPr>
      <w:r>
        <w:drawing>
          <wp:inline xmlns:a="http://schemas.openxmlformats.org/drawingml/2006/main" xmlns:pic="http://schemas.openxmlformats.org/drawingml/2006/picture">
            <wp:extent cx="5486400" cy="5214908"/>
            <wp:docPr id="1" name="Picture 1"/>
            <wp:cNvGraphicFramePr>
              <a:graphicFrameLocks noChangeAspect="1"/>
            </wp:cNvGraphicFramePr>
            <a:graphic>
              <a:graphicData uri="http://schemas.openxmlformats.org/drawingml/2006/picture">
                <pic:pic>
                  <pic:nvPicPr>
                    <pic:cNvPr id="0" name="A 23602-2023 karta.png"/>
                    <pic:cNvPicPr/>
                  </pic:nvPicPr>
                  <pic:blipFill>
                    <a:blip r:embed="rId16"/>
                    <a:stretch>
                      <a:fillRect/>
                    </a:stretch>
                  </pic:blipFill>
                  <pic:spPr>
                    <a:xfrm>
                      <a:off x="0" y="0"/>
                      <a:ext cx="5486400" cy="5214908"/>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6383771, E 541401 i SWEREF 99 TM.</w:t>
      </w:r>
    </w:p>
    <w:p>
      <w:r>
        <w:t>I och inom 17 meter från avverkningsanmälan finns fynd av 3 naturvårdsarter, varav 1 är rödlistad, 3 är typiska (T) och 2 är signalarter (S): vedtrappmossa (NT, T), terpentinmossa (S, T) och vanlig rörsvepemossa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Terpentinmossa</w:t>
      </w:r>
      <w:r>
        <w:t xml:space="preserve"> signalerar alltid biotoper med höga naturvärden och dess lokaler bör alltid uppmärksammas som nyckelbiotoper. Den indikerar områden med konstant beskuggning och god tillgång på murken, fuktig ved och tål inte avverkning och markberedning. Sverige har ett internationellt ansvar för arten, då en relativt stor andel av den europeiska populationen troligen finns i vårt land. Terpentinmossa är rödlistad som nära hotad (NT) på den europeiska rödlistan och typisk art för </w:t>
      </w:r>
      <w:r>
        <w:rPr>
          <w:i/>
        </w:rPr>
        <w:t xml:space="preserve">9010 Taiga, 9080 Lövsumpskog </w:t>
      </w:r>
      <w:r>
        <w:t xml:space="preserve">och </w:t>
      </w:r>
      <w:r>
        <w:rPr>
          <w:i/>
        </w:rPr>
        <w:t>9750 Svämlövskog</w:t>
      </w:r>
      <w:r>
        <w:t xml:space="preserve"> (Nitare &amp; Skogsstyrelsen, 2019; IUCN, 2019; SLU Artdatabanken, 2025).</w:t>
      </w:r>
    </w:p>
    <w:p>
      <w:r>
        <w:rPr>
          <w:b/>
        </w:rPr>
        <w:t xml:space="preserve">Vanlig rörsvepemossa </w:t>
      </w:r>
      <w:r>
        <w:t xml:space="preserve">signalerar överallt skog med höga naturvärden och indikerar bestånd som haft kontinuerligt god tillgång på murken ved, konstant hög luftfuktighet och beskuggad näringsrik mark. Där den växer finns oftast en rad andra rödlistade och skyddsvärda mossor. Arten är känslig för större avverkningar men tål ofta plockhuggning som bevarar ett tätare trädskikt. Vanlig rörsvepemossa är typisk art för </w:t>
      </w:r>
      <w:r>
        <w:rPr>
          <w:i/>
        </w:rPr>
        <w:t xml:space="preserve">9080 Lövsumpskog </w:t>
      </w:r>
      <w:r>
        <w:t xml:space="preserve">och </w:t>
      </w:r>
      <w:r>
        <w:rPr>
          <w:i/>
        </w:rPr>
        <w:t>9750 Svämlövskog</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