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29238-2026 i Vimmerby kommun</w:t>
      </w:r>
    </w:p>
    <w:p>
      <w:r>
        <w:t>Detta klagomål behandlar höga naturvärden i avverkningsanmälan A 29238-2026 i Vimmerby kommun som inkom 2026-06-29 och omfattar 2,2 ha.</w:t>
      </w:r>
    </w:p>
    <w:p>
      <w:pPr>
        <w:pStyle w:val="Caption"/>
      </w:pPr>
      <w:r>
        <w:drawing>
          <wp:inline xmlns:a="http://schemas.openxmlformats.org/drawingml/2006/main" xmlns:pic="http://schemas.openxmlformats.org/drawingml/2006/picture">
            <wp:extent cx="5486400" cy="4755861"/>
            <wp:docPr id="1" name="Picture 1"/>
            <wp:cNvGraphicFramePr>
              <a:graphicFrameLocks noChangeAspect="1"/>
            </wp:cNvGraphicFramePr>
            <a:graphic>
              <a:graphicData uri="http://schemas.openxmlformats.org/drawingml/2006/picture">
                <pic:pic>
                  <pic:nvPicPr>
                    <pic:cNvPr id="0" name="A 29238-2026 karta.png"/>
                    <pic:cNvPicPr/>
                  </pic:nvPicPr>
                  <pic:blipFill>
                    <a:blip r:embed="rId16"/>
                    <a:stretch>
                      <a:fillRect/>
                    </a:stretch>
                  </pic:blipFill>
                  <pic:spPr>
                    <a:xfrm>
                      <a:off x="0" y="0"/>
                      <a:ext cx="5486400" cy="475586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6409527, E 541860 i SWEREF 99 TM.</w:t>
      </w:r>
    </w:p>
    <w:p>
      <w:r>
        <w:t>I avverkningsanmälan finns fynd av 1 naturvårdsarter, varav 1 är typisk (T) och 1 är signalart (S): springkorn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Springkorn </w:t>
      </w:r>
      <w:r>
        <w:t>är en kärlväxt som blir upp till en meter hög och kan bilda stora bestånd,</w:t>
      </w:r>
      <w:r>
        <w:rPr>
          <w:b/>
        </w:rPr>
        <w:t xml:space="preserve"> </w:t>
      </w:r>
      <w:r>
        <w:t xml:space="preserve">ofta i skuggiga, fuktiga och mullrika skogsmiljöer. Den är uttorkningskänslig och hotas främst av dräneringsåtgärder och kalavverkning samt eventuellt även av den införda växten blekbalsamin. Arten är på många håll skyddad i naturreservat med lundartad vegetation i raviner men de främsta förekomsterna på moränlera vid sjöstränder har ett sämre skydd. Springkorn är typisk art för </w:t>
      </w:r>
      <w:r>
        <w:rPr>
          <w:i/>
        </w:rPr>
        <w:t xml:space="preserve">9080 Lövsumpskog, 9750 Svämlövskog </w:t>
      </w:r>
      <w:r>
        <w:t>och</w:t>
      </w:r>
      <w:r>
        <w:rPr>
          <w:i/>
        </w:rPr>
        <w:t xml:space="preserve"> 9760 Svämädellövskog</w:t>
      </w:r>
      <w:r>
        <w:t xml:space="preserve"> samt värdväxt för de sällsynta och rödlistade fjärilsarterna gulryggig fältmätare (VU), nätådrig parkmätare (VU), springkornsrotvecklare (VU) och springkornsfältmätare (NT)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