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36349-2019 i Vimmerby kommun</w:t>
      </w:r>
    </w:p>
    <w:p>
      <w:r>
        <w:t>Detta dokument behandlar höga naturvärden i avverkningsanmälan A 36349-2019 i Vimmerby kommun. Denna avverkningsanmälan inkom 2019-07-24 och omfattar 2,6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fällmossa (S), guldlockmossa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97942"/>
            <wp:docPr id="1" name="Picture 1"/>
            <wp:cNvGraphicFramePr>
              <a:graphicFrameLocks noChangeAspect="1"/>
            </wp:cNvGraphicFramePr>
            <a:graphic>
              <a:graphicData uri="http://schemas.openxmlformats.org/drawingml/2006/picture">
                <pic:pic>
                  <pic:nvPicPr>
                    <pic:cNvPr id="0" name="A 36349-2019 karta.png"/>
                    <pic:cNvPicPr/>
                  </pic:nvPicPr>
                  <pic:blipFill>
                    <a:blip r:embed="rId16"/>
                    <a:stretch>
                      <a:fillRect/>
                    </a:stretch>
                  </pic:blipFill>
                  <pic:spPr>
                    <a:xfrm>
                      <a:off x="0" y="0"/>
                      <a:ext cx="5486400" cy="57979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6398260, E 564511 i SWEREF 99 TM.</w:t>
      </w:r>
    </w:p>
    <w:p>
      <w:r>
        <w:rPr>
          <w:b/>
        </w:rPr>
        <w:t>Fällmossa</w:t>
      </w:r>
      <w:r>
        <w:t xml:space="preserve"> indikerar i stort sett alltid områden med höga naturvärden, skog med lång kontinuitet, gamla träd, hög luftfuktighet och stabila förhållanden. Sporkapslar finnar man enbart på extra skyddsvärda lokaler (Nitare &amp; Skogsstyrelsen, 2019).</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