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1228-2025 i Vimmerby kommun</w:t>
      </w:r>
    </w:p>
    <w:p>
      <w:r>
        <w:t>Detta klagomål behandlar höga naturvärden i samrådsanmälan S 1228-2025 i Vimmerby kommun som inkom 2025-04-14 och omfattar 4,0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S 1228-2025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och inom 14 meter från samrådsanmälan. Markörer utan svart kant är placerade på fyndplatsen. Markörer med svart kant är placerade vid sidan av fyndplatsen och har ett svart streck som visar fyndplatsens exakta position. Kartans mittpunktskoordinat är N 6402191, E 535923 i SWEREF 99 TM.</w:t>
      </w:r>
    </w:p>
    <w:p>
      <w:r>
        <w:t>I och inom 14 meter från samrådsanmälan finns fynd av 2 naturvårdsarter, varav 2 är rödlistade och 1 är fridlyst: barrskogsspinnare (VU)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Barrskogsspinnare (VU)</w:t>
      </w:r>
      <w:r>
        <w:t xml:space="preserve"> hör hemma i den svenska taigan i äldre barrskogar från Småland upp till de fjällnära barrskogarna i Norrbotten. Den har minskat kraftigt över hela sitt utbredningsområde och det storskaliga trakthyggesbruket kan förklara huvuddelen av artens minskning. Om barrskogsspinnaren på längre sikt ska kunna bibehålla en livskraftig population i landet är det nödvändigt att äldre barrskogar undantas från kalavverkning i betydligt högre omfattning än idag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