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7.36 ha med buffertzonerna och får av detta skäl inte avverkas.</w:t>
      </w:r>
    </w:p>
    <w:p>
      <w:pPr>
        <w:pStyle w:val="Caption"/>
      </w:pPr>
      <w:r>
        <w:drawing>
          <wp:inline xmlns:a="http://schemas.openxmlformats.org/drawingml/2006/main" xmlns:pic="http://schemas.openxmlformats.org/drawingml/2006/picture">
            <wp:extent cx="5486400" cy="3672515"/>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2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