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37896-2022 i Vimmerby kommun</w:t>
      </w:r>
    </w:p>
    <w:p>
      <w:r>
        <w:t>Detta dokument behandlar höga naturvärden i avverkningsanmälan A 37896-2022 i Vimmerby kommun. Denna avverkningsanmälan inkom 2022-09-07 00:00:00 och omfattar 62,2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gropig skägglav (VU), knärot (VU, §8), ostticka (VU), rynkskinn (VU), slåttergubbe (VU), brunpudrad nållav (NT), dvärgbägarlav (NT), ekticka (NT), grön aspvedbock (NT), mindre hackspett (NT, §4), rosa skärelav (NT), skogstrappmossa (NT), solvända (NT), spillkråka (NT, §4), tallticka (NT), talltita (NT, §4), ullticka (NT), vedskivlav (NT), vedtrappmossa (NT), barkticka (S), blomskägglav (S), blåmossa (S), bronshjon (S), dropptaggsvamp (S), dvärgtufs (S), fjällig taggsvamp s.str. (S), flagellkvastmossa (S), fällmossa (S), grovticka (S), grön sköldmossa (S, §8), grönpyrola (S), guldlockmossa (S), gullgröppa (S), gulnål (S), kornig nållav (S), mindre märgborre (S), rostfläck (S), stubbspretmossa (S), vågbandad barkbock (S), kungsfågel (§4), blåsippa (§9), mattlummer (§9)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37896-2022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6376862, E 570746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Gropig skägglav (VU)</w:t>
      </w:r>
      <w:r>
        <w:t xml:space="preserve"> växer på träd i flera olika miljöer, både kulturmark som alléer och i gammal skog. Är sannolikt känslig för luftföroreningar liksom slutavverkning av gammal skog men orsaken till tillbakagången är delvis oklar. Minskningstakten har uppgått till 30 (20–40) % under de senaste 50 åren och överstiger gränsvärdet för sårbar (VU). Arten påverkas negativt av brist på kontinuitetsskog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talltita (NT, §4), grön sköldmossa (S, §8), kungsfågel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60 fyndplatser för knärot registrerade på Artportalen. Figur 2 visar gränserna för buffertzoner på 50 m, som behöver lämnas kring fyndplatserna för att knärotslokalerna inte ska försvinna vid en avverkning. Av det avverkningsanmälda området överlappar 14.31 ha med buffertzonerna och får av detta skäl inte avverkas.</w:t>
      </w:r>
    </w:p>
    <w:p>
      <w:pPr>
        <w:pStyle w:val="Caption"/>
      </w:pPr>
      <w:r>
        <w:drawing>
          <wp:inline xmlns:a="http://schemas.openxmlformats.org/drawingml/2006/main" xmlns:pic="http://schemas.openxmlformats.org/drawingml/2006/picture">
            <wp:extent cx="5486400" cy="5909141"/>
            <wp:docPr id="2" name="Picture 2"/>
            <wp:cNvGraphicFramePr>
              <a:graphicFrameLocks noChangeAspect="1"/>
            </wp:cNvGraphicFramePr>
            <a:graphic>
              <a:graphicData uri="http://schemas.openxmlformats.org/drawingml/2006/picture">
                <pic:pic>
                  <pic:nvPicPr>
                    <pic:cNvPr id="0" name="A 37896-2022 karta knärot.png"/>
                    <pic:cNvPicPr/>
                  </pic:nvPicPr>
                  <pic:blipFill>
                    <a:blip r:embed="rId17"/>
                    <a:stretch>
                      <a:fillRect/>
                    </a:stretch>
                  </pic:blipFill>
                  <pic:spPr>
                    <a:xfrm>
                      <a:off x="0" y="0"/>
                      <a:ext cx="5486400" cy="59091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6376862, E 570746 i SWEREF 99 TM.</w:t>
      </w:r>
    </w:p>
    <w:p>
      <w:pPr>
        <w:pStyle w:val="Caption"/>
      </w:pP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