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37896-2022 i Vimmerby kommun</w:t>
      </w:r>
    </w:p>
    <w:p>
      <w:r>
        <w:t>Detta dokument behandlar höga naturvärden i avverkningsanmälan A 37896-2022 i Vimmerby kommun. Denna avverkningsanmälan inkom 2022-09-07 och omfattar 62,2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43 naturvårdsarter hittats: gropig skägglav (VU), knärot (VU, §8), ostticka (VU), rynkskinn (VU), slåttergubbe (VU), brunpudrad nållav (NT), dvärgbägarlav (NT), ekticka (NT), grön aspvedbock (NT), mindre hackspett (NT, §4), rosa skärelav (NT), skogstrappmossa (NT), solvända (NT), spillkråka (NT, §4), tallticka (NT), talltita (NT, §4), ullticka (NT), vedskivlav (NT), vedtrappmossa (NT), barkticka (S), blomskägglav (S), blåmossa (S), bronshjon (S), dropptaggsvamp (S), dvärgtufs (S), fjällig taggsvamp s.str. (S), flagellkvastmossa (S), fällmossa (S), grovticka (S), grön sköldmossa (S, §8), grönpyrola (S), guldlockmossa (S), gullgröppa (S), gulnål (S), kornig nållav (S), mindre märgborre (S), rostfläck (S), stubbspretmossa (S), vågbandad barkbock (S), kungsfågel (§4), blåsippa (§9), mattlummer (§9) och revlummer (§9). Av dessa är 19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1644"/>
            <wp:docPr id="1" name="Picture 1"/>
            <wp:cNvGraphicFramePr>
              <a:graphicFrameLocks noChangeAspect="1"/>
            </wp:cNvGraphicFramePr>
            <a:graphic>
              <a:graphicData uri="http://schemas.openxmlformats.org/drawingml/2006/picture">
                <pic:pic>
                  <pic:nvPicPr>
                    <pic:cNvPr id="0" name="A 37896-2022 karta.png"/>
                    <pic:cNvPicPr/>
                  </pic:nvPicPr>
                  <pic:blipFill>
                    <a:blip r:embed="rId16"/>
                    <a:stretch>
                      <a:fillRect/>
                    </a:stretch>
                  </pic:blipFill>
                  <pic:spPr>
                    <a:xfrm>
                      <a:off x="0" y="0"/>
                      <a:ext cx="5486400" cy="39616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6376862, E 570746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 mindre hackspett (NT, §4), spillkråka (NT, §4), talltita (NT, §4), grön sköldmossa (S, §8), kungsfågel (§4), blåsippa (§9), mattlummer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60 fyndplatser för knärot registrerade på Artportalen. Figur 2 visar gränserna för buffertzoner på 50 m, som behöver lämnas kring fyndplatserna för att knärotslokalerna inte ska försvinna vid en avverkning. Av det avverkningsanmälda området överlappar 14.31 ha med buffertzonerna och får av detta skäl inte avverkas.</w:t>
      </w:r>
    </w:p>
    <w:p>
      <w:pPr>
        <w:pStyle w:val="Caption"/>
      </w:pPr>
      <w:r>
        <w:drawing>
          <wp:inline xmlns:a="http://schemas.openxmlformats.org/drawingml/2006/main" xmlns:pic="http://schemas.openxmlformats.org/drawingml/2006/picture">
            <wp:extent cx="5486400" cy="5909141"/>
            <wp:docPr id="2" name="Picture 2"/>
            <wp:cNvGraphicFramePr>
              <a:graphicFrameLocks noChangeAspect="1"/>
            </wp:cNvGraphicFramePr>
            <a:graphic>
              <a:graphicData uri="http://schemas.openxmlformats.org/drawingml/2006/picture">
                <pic:pic>
                  <pic:nvPicPr>
                    <pic:cNvPr id="0" name="A 37896-2022 karta knärot.png"/>
                    <pic:cNvPicPr/>
                  </pic:nvPicPr>
                  <pic:blipFill>
                    <a:blip r:embed="rId17"/>
                    <a:stretch>
                      <a:fillRect/>
                    </a:stretch>
                  </pic:blipFill>
                  <pic:spPr>
                    <a:xfrm>
                      <a:off x="0" y="0"/>
                      <a:ext cx="5486400" cy="590914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6376862, E 570746 i SWEREF 99 TM.</w:t>
      </w:r>
    </w:p>
    <w:p>
      <w:pPr>
        <w:pStyle w:val="Caption"/>
      </w:pP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39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43 naturvårdsarter varav 19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