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989-2023 i Vimmerby kommun</w:t>
      </w:r>
    </w:p>
    <w:p>
      <w:r>
        <w:t>Denna tillsynsbegäran behandlar höga naturvärden i samrådsanmälan S 989-2023 i Vimmerby kommun som inkom 2023-03-21 och omfattar 62,0 ha.</w:t>
      </w:r>
    </w:p>
    <w:p>
      <w:pPr>
        <w:pStyle w:val="Caption"/>
      </w:pPr>
      <w:r>
        <w:drawing>
          <wp:inline xmlns:a="http://schemas.openxmlformats.org/drawingml/2006/main" xmlns:pic="http://schemas.openxmlformats.org/drawingml/2006/picture">
            <wp:extent cx="5425681" cy="5724000"/>
            <wp:docPr id="1" name="Picture 1"/>
            <wp:cNvGraphicFramePr>
              <a:graphicFrameLocks noChangeAspect="1"/>
            </wp:cNvGraphicFramePr>
            <a:graphic>
              <a:graphicData uri="http://schemas.openxmlformats.org/drawingml/2006/picture">
                <pic:pic>
                  <pic:nvPicPr>
                    <pic:cNvPr id="0" name="S 989-2023 karta.png"/>
                    <pic:cNvPicPr/>
                  </pic:nvPicPr>
                  <pic:blipFill>
                    <a:blip r:embed="rId16"/>
                    <a:stretch>
                      <a:fillRect/>
                    </a:stretch>
                  </pic:blipFill>
                  <pic:spPr>
                    <a:xfrm>
                      <a:off x="0" y="0"/>
                      <a:ext cx="5425681"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6385483, E 551163 i SWEREF 99 TM.</w:t>
      </w:r>
    </w:p>
    <w:p>
      <w:r>
        <w:t>I och inom 25 meter från samrådsanmälan finns fynd av 4 naturvårdsarter, varav 2 är rödlistade, 2 är fridlysta, 4 är typiska (T) och 1 är signalart (S): knärot (VU, T, §8), ullticka (NT, T), mindre märgborre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3 fyndplatser för knärot registrerade på Artportalen. Figur 2 visar gränserna för buffertzoner på 50 m, som behöver lämnas kring fyndplatserna för att knärotslokalerna inte ska försvinna vid en avverkning. Av det samrådsanmälda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5541075"/>
            <wp:docPr id="2" name="Picture 2"/>
            <wp:cNvGraphicFramePr>
              <a:graphicFrameLocks noChangeAspect="1"/>
            </wp:cNvGraphicFramePr>
            <a:graphic>
              <a:graphicData uri="http://schemas.openxmlformats.org/drawingml/2006/picture">
                <pic:pic>
                  <pic:nvPicPr>
                    <pic:cNvPr id="0" name="S 989-2023 karta knärot.png"/>
                    <pic:cNvPicPr/>
                  </pic:nvPicPr>
                  <pic:blipFill>
                    <a:blip r:embed="rId17"/>
                    <a:stretch>
                      <a:fillRect/>
                    </a:stretch>
                  </pic:blipFill>
                  <pic:spPr>
                    <a:xfrm>
                      <a:off x="0" y="0"/>
                      <a:ext cx="5486400" cy="5541075"/>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6385483, E 551163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