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37896-2022 i Vimmerby kommun</w:t>
      </w:r>
    </w:p>
    <w:p>
      <w:r>
        <w:t>Denna tillsynsbegäran behandlar höga naturvärden i avverkningsanmälan A 37896-2022 i Vimmerby kommun som inkom 2022-09-07 och omfattar 62,2 ha.</w:t>
      </w:r>
    </w:p>
    <w:p>
      <w:pPr>
        <w:pStyle w:val="Caption"/>
      </w:pPr>
      <w:r>
        <w:drawing>
          <wp:inline xmlns:a="http://schemas.openxmlformats.org/drawingml/2006/main" xmlns:pic="http://schemas.openxmlformats.org/drawingml/2006/picture">
            <wp:extent cx="5486400" cy="3787764"/>
            <wp:docPr id="1" name="Picture 1"/>
            <wp:cNvGraphicFramePr>
              <a:graphicFrameLocks noChangeAspect="1"/>
            </wp:cNvGraphicFramePr>
            <a:graphic>
              <a:graphicData uri="http://schemas.openxmlformats.org/drawingml/2006/picture">
                <pic:pic>
                  <pic:nvPicPr>
                    <pic:cNvPr id="0" name="A 37896-2022 karta.png"/>
                    <pic:cNvPicPr/>
                  </pic:nvPicPr>
                  <pic:blipFill>
                    <a:blip r:embed="rId16"/>
                    <a:stretch>
                      <a:fillRect/>
                    </a:stretch>
                  </pic:blipFill>
                  <pic:spPr>
                    <a:xfrm>
                      <a:off x="0" y="0"/>
                      <a:ext cx="5486400" cy="37877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6376862, E 570746 i SWEREF 99 TM.</w:t>
      </w:r>
    </w:p>
    <w:p>
      <w:r>
        <w:t>I och inom 23 meter från avverkningsanmälan finns fynd av 50 naturvårdsarter, varav 22 är rödlistade, 11 är fridlysta, 37 är typiska (T) och 21 är signalarter (S): gropig skägglav (VU), knärot (VU, T, §8), ostticka (VU, T), slåttergubbe (VU), brunpudrad nållav (NT, T), dropptaggsvamp (NT, T), dvärgbägarlav (NT, T), ekticka (NT, T), fjällig taggsvamp s.str. (NT), gammelekslav (NT, T), jungfrulin (NT), mindre hackspett (NT, T, §4), rosa skärelav (NT, T), rutskinn (NT, T), rynkskinn (NT, T), skogstrappmossa (NT), solvända (NT), tallticka (NT, T), talltita (NT, §4), ullticka (NT, T), vedskivlav (NT, T), vedtrappmossa (NT, T), barkticka (S, T), blomskägglav (S, T), blåmossa (S, T), bronshjon (S, T), dvärgtufs (S), flagellkvastmossa (S, T), fällmossa (S, T), grovticka (S, T), grön sköldmossa (S, T, §8), grönpyrola (S, T), guldlockmossa (S, T), gullgröppa (S), gulnål (S, T), gulpudrad spiklav (S, T), kornig nållav (S, T), mindre märgborre (S, T), rostfläck (S, T), sotlav (S, T), stubbspretmossa (S, T), vätteros (S, T), vågbandad barkbock (S), blåsippa (T, §9), mattlummer (T, §9), spillkråka (T, §4), tjäder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60 fyndplatser för knärot registrerade på Artportalen. Figur 2 visar gränserna för buffertzoner på 50 m, som behöver lämnas kring fyndplatserna för att knärotslokalerna inte ska försvinna vid en avverkning. Av det avverkningsanmälda området överlappar 14.33 ha med buffertzonerna och får av detta skäl inte avverkas.</w:t>
      </w:r>
    </w:p>
    <w:p>
      <w:pPr>
        <w:pStyle w:val="Caption"/>
      </w:pPr>
      <w:r>
        <w:drawing>
          <wp:inline xmlns:a="http://schemas.openxmlformats.org/drawingml/2006/main" xmlns:pic="http://schemas.openxmlformats.org/drawingml/2006/picture">
            <wp:extent cx="5486400" cy="5910931"/>
            <wp:docPr id="2" name="Picture 2"/>
            <wp:cNvGraphicFramePr>
              <a:graphicFrameLocks noChangeAspect="1"/>
            </wp:cNvGraphicFramePr>
            <a:graphic>
              <a:graphicData uri="http://schemas.openxmlformats.org/drawingml/2006/picture">
                <pic:pic>
                  <pic:nvPicPr>
                    <pic:cNvPr id="0" name="A 37896-2022 karta knärot.png"/>
                    <pic:cNvPicPr/>
                  </pic:nvPicPr>
                  <pic:blipFill>
                    <a:blip r:embed="rId17"/>
                    <a:stretch>
                      <a:fillRect/>
                    </a:stretch>
                  </pic:blipFill>
                  <pic:spPr>
                    <a:xfrm>
                      <a:off x="0" y="0"/>
                      <a:ext cx="5486400" cy="5910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6376862, E 570746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ostticka (VU, T), brunpudrad nållav (NT, T), dropptaggsvamp (NT, T), dvärgbägarlav (NT, T), ekticka (NT, T), gammelekslav (NT, T), mindre hackspett (NT, T, §4), rosa skärelav (NT, T), rutskinn (NT, T), rynkskinn (NT, T), tallticka (NT, T), ullticka (NT, T), vedskivlav (NT, T), vedtrappmossa (NT, T), barkticka (S, T), blomskägglav (S, T), blåmossa (S, T), bronshjon (S, T), flagellkvastmossa (S, T), fällmossa (S, T), grovticka (S, T), grön sköldmossa (S, T, §8), grönpyrola (S, T), guldlockmossa (S, T), gulnål (S, T), gulpudrad spiklav (S, T), kornig nållav (S, T), mindre märgborre (S, T), rostfläck (S, T), sotlav (S, T), stubbspretmossa (S, T), vätteros (S, T), blåsippa (T, §9),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