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1386-2025 i Vimmerby kommun</w:t>
      </w:r>
    </w:p>
    <w:p>
      <w:r>
        <w:t>Denna tillsynsbegäran behandlar höga naturvärden i samrådsanmälan S 1386-2025 i Vimmerby kommun som inkom 2025-04-30 och omfattar 3,7 ha.</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S 1386-2025 karta.png"/>
                    <pic:cNvPicPr/>
                  </pic:nvPicPr>
                  <pic:blipFill>
                    <a:blip r:embed="rId16"/>
                    <a:stretch>
                      <a:fillRect/>
                    </a:stretch>
                  </pic:blipFill>
                  <pic:spPr>
                    <a:xfrm>
                      <a:off x="0" y="0"/>
                      <a:ext cx="5486400" cy="42802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6400283, E 535241 i SWEREF 99 TM.</w:t>
      </w:r>
    </w:p>
    <w:p>
      <w:r>
        <w:t>I samrådsanmälan finns fynd av 6 naturvårdsarter, varav 5 är rödlistade, 1 är typisk (T) och 1 är signalart (S): bredbrämad bastardsvärmare (VU), mindre bastardsvärmare (VU), raggbock (VU, T), sexfläckig bastardsvärmare (VU), tallkötticka (NT) och Dorcatoma dresdensis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