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2518-2023 i Vimmerby kommun</w:t>
      </w:r>
    </w:p>
    <w:p>
      <w:r>
        <w:t>Detta dokument behandlar höga naturvärden i avverkningsanmälan A 2518-2023 i Vimmerby kommun. Denna avverkningsanmälan inkom 2023-01-17 00:00:00 och omfattar 6,1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grönpyrola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610852"/>
            <wp:docPr id="1" name="Picture 1"/>
            <wp:cNvGraphicFramePr>
              <a:graphicFrameLocks noChangeAspect="1"/>
            </wp:cNvGraphicFramePr>
            <a:graphic>
              <a:graphicData uri="http://schemas.openxmlformats.org/drawingml/2006/picture">
                <pic:pic>
                  <pic:nvPicPr>
                    <pic:cNvPr id="0" name="A 2518-2023 karta.png"/>
                    <pic:cNvPicPr/>
                  </pic:nvPicPr>
                  <pic:blipFill>
                    <a:blip r:embed="rId16"/>
                    <a:stretch>
                      <a:fillRect/>
                    </a:stretch>
                  </pic:blipFill>
                  <pic:spPr>
                    <a:xfrm>
                      <a:off x="0" y="0"/>
                      <a:ext cx="5486400" cy="56108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6385909, E 550565 i SWEREF 99 TM.</w:t>
      </w:r>
    </w:p>
    <w:p>
      <w:r>
        <w:rPr>
          <w:b/>
        </w:rPr>
        <w:t xml:space="preserve">Grönpyrola </w:t>
      </w:r>
      <w:r>
        <w:t xml:space="preserve">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Grönpyrola är typisk art för </w:t>
      </w:r>
      <w:r>
        <w:rPr>
          <w:i/>
        </w:rPr>
        <w:t>9010 Taiga, 9060 Åsbarrskog</w:t>
      </w:r>
      <w:r>
        <w:t xml:space="preserve"> och</w:t>
      </w:r>
      <w:r>
        <w:rPr>
          <w:i/>
        </w:rPr>
        <w:t xml:space="preserve"> 1610 Åsöar i Östersjön </w:t>
      </w:r>
      <w:r>
        <w:t>(Nitare &amp; Skogsstyrelsen, 2019; SLU Artdatabanken, 2025).</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14 fyndplatser för knärot registrerade på Artportalen. Figur 2 visar gränserna för buffertzoner på 50 m, som behöver lämnas kring fyndplatserna för att knärotslokalerna inte ska försvinna vid en avverkning. Av det avverkningsanmälda området överlappar 2.58 ha med buffertzonerna och får av detta skäl inte avverkas.</w:t>
      </w:r>
    </w:p>
    <w:p>
      <w:pPr>
        <w:pStyle w:val="Caption"/>
      </w:pPr>
      <w:r>
        <w:drawing>
          <wp:inline xmlns:a="http://schemas.openxmlformats.org/drawingml/2006/main" xmlns:pic="http://schemas.openxmlformats.org/drawingml/2006/picture">
            <wp:extent cx="5486400" cy="6957990"/>
            <wp:docPr id="2" name="Picture 2"/>
            <wp:cNvGraphicFramePr>
              <a:graphicFrameLocks noChangeAspect="1"/>
            </wp:cNvGraphicFramePr>
            <a:graphic>
              <a:graphicData uri="http://schemas.openxmlformats.org/drawingml/2006/picture">
                <pic:pic>
                  <pic:nvPicPr>
                    <pic:cNvPr id="0" name="A 2518-2023 karta knärot.png"/>
                    <pic:cNvPicPr/>
                  </pic:nvPicPr>
                  <pic:blipFill>
                    <a:blip r:embed="rId17"/>
                    <a:stretch>
                      <a:fillRect/>
                    </a:stretch>
                  </pic:blipFill>
                  <pic:spPr>
                    <a:xfrm>
                      <a:off x="0" y="0"/>
                      <a:ext cx="5486400" cy="6957990"/>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6385909, E 550565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