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37889-2022 i Vimmerby kommun</w:t>
      </w:r>
    </w:p>
    <w:p>
      <w:r>
        <w:t>Detta klagomål behandlar höga naturvärden i avverkningsanmälan A 37889-2022 i Vimmerby kommun som inkom 2022-09-07 och omfattar 0,9 ha.</w:t>
      </w:r>
    </w:p>
    <w:p>
      <w:pPr>
        <w:pStyle w:val="Caption"/>
      </w:pPr>
      <w:r>
        <w:drawing>
          <wp:inline xmlns:a="http://schemas.openxmlformats.org/drawingml/2006/main" xmlns:pic="http://schemas.openxmlformats.org/drawingml/2006/picture">
            <wp:extent cx="5271152" cy="5724000"/>
            <wp:docPr id="1" name="Picture 1"/>
            <wp:cNvGraphicFramePr>
              <a:graphicFrameLocks noChangeAspect="1"/>
            </wp:cNvGraphicFramePr>
            <a:graphic>
              <a:graphicData uri="http://schemas.openxmlformats.org/drawingml/2006/picture">
                <pic:pic>
                  <pic:nvPicPr>
                    <pic:cNvPr id="0" name="A 37889-2022 karta.png"/>
                    <pic:cNvPicPr/>
                  </pic:nvPicPr>
                  <pic:blipFill>
                    <a:blip r:embed="rId16"/>
                    <a:stretch>
                      <a:fillRect/>
                    </a:stretch>
                  </pic:blipFill>
                  <pic:spPr>
                    <a:xfrm>
                      <a:off x="0" y="0"/>
                      <a:ext cx="527115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6378131, E 570196 i SWEREF 99 TM.</w:t>
      </w:r>
    </w:p>
    <w:p>
      <w:r>
        <w:t>I och inom 19 meter från avverkningsanmälan finns fynd av 16 naturvårdsarter, varav 11 är rödlistade, 4 är fridlysta, 12 är typiska (T) och 4 är signalarter (S): läderbagge (VU, §4a), blekticka (NT, T), dvärgbägarlav (NT, T), entita (NT, T, §4), gammelekslav (NT, T), hjälmbrosklav (NT), mindre hackspett (NT, T, §4), rosa skärelav (NT, T), skuggorangelav (NT), tallticka (NT, T), vedskivlav (NT, T), brun nållav (S), gulpudrad spiklav (S, T), kornig nållav (S, T), mindre märgborre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