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37889-2022 i Vimmerby kommun</w:t>
      </w:r>
    </w:p>
    <w:p>
      <w:r>
        <w:t>Denna tillsynsbegäran behandlar höga naturvärden i avverkningsanmälan A 37889-2022 i Vimmerby kommun som inkom 2022-09-07 och omfattar 0,9 ha.</w:t>
      </w:r>
    </w:p>
    <w:p>
      <w:pPr>
        <w:pStyle w:val="Caption"/>
      </w:pPr>
      <w:r>
        <w:drawing>
          <wp:inline xmlns:a="http://schemas.openxmlformats.org/drawingml/2006/main" xmlns:pic="http://schemas.openxmlformats.org/drawingml/2006/picture">
            <wp:extent cx="5271152" cy="5724000"/>
            <wp:docPr id="1" name="Picture 1"/>
            <wp:cNvGraphicFramePr>
              <a:graphicFrameLocks noChangeAspect="1"/>
            </wp:cNvGraphicFramePr>
            <a:graphic>
              <a:graphicData uri="http://schemas.openxmlformats.org/drawingml/2006/picture">
                <pic:pic>
                  <pic:nvPicPr>
                    <pic:cNvPr id="0" name="A 37889-2022 karta.png"/>
                    <pic:cNvPicPr/>
                  </pic:nvPicPr>
                  <pic:blipFill>
                    <a:blip r:embed="rId16"/>
                    <a:stretch>
                      <a:fillRect/>
                    </a:stretch>
                  </pic:blipFill>
                  <pic:spPr>
                    <a:xfrm>
                      <a:off x="0" y="0"/>
                      <a:ext cx="5271152"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6378131, E 570196 i SWEREF 99 TM.</w:t>
      </w:r>
    </w:p>
    <w:p>
      <w:r>
        <w:t>I och inom 19 meter från avverkningsanmälan finns fynd av 16 naturvårdsarter, varav 11 är rödlistade, 4 är fridlysta, 12 är typiska (T) och 4 är signalarter (S): läderbagge (VU, §4a), blekticka (NT, T), dvärgbägarlav (NT, T), entita (NT, T, §4), gammelekslav (NT, T), hjälmbrosklav (NT), mindre hackspett (NT, T, §4), rosa skärelav (NT, T), skuggorangelav (NT), tallticka (NT, T), vedskivlav (NT, T), brun nållav (S), gulpudrad spiklav (S, T), kornig nållav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Läderbagge (VU, §4a)</w:t>
      </w:r>
      <w:r>
        <w:t xml:space="preserve"> är strikt skyddad enligt EU:s art- och habitatdirektiv vilket innebär att hela dess livsmiljö med ekar i alla åldrar behöver bevaras för artens långsiktiga överlevnad i landskapet. Läderbaggens larvutveckling sker i trädhåligheter med mulm i grova ihåliga lövträd, där larven lever av den omgivande, fastare döda veden. I Sverige främst i ek, men även i ask, bok, lind, klibbal, hästkastanj, alm, apel och asp. Läderbaggen påverkar livsmiljön för andra arter genom att utvidga håligheter, öka mängden mulm och höja kvävehalten i mulmen. I stamhåligheter med läderbagge förekommer ofta en rad andra rödlistade arter. Läderbagge är globalt rödlistad som nära hotad (NT) vilket innebär att Sverige har ett internationellt ansvar för arten (IUCN, 2025; SLU Artdatabanken, 2021; Nilsson m.fl. 2002).</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Hjälmbrosklav (NT) </w:t>
      </w:r>
      <w:r>
        <w:t>växer huvudsakligen på gamla ekar, men även på andra ädellövträd. De flesta nutida lokalerna är öppna och därmed solexponerade parker, hagmarker och vägkanter med gamla träd. Arten påträffas ofta tillsammans med andra naturvårdsarter som matt pricklav (NT), skuggorangelav (NT) och grå skärelav. Hjälmbrosklaven känns lättast igen på de uppblåsta, hjälmlika soralen i spetsen eller nedanför spetsen av de runda till trubbiga loberna. Minskningstakten för den svenska populationen bedöms vara nära gränsvärdet för Sårbar (VU). Avverkning av gamla lövträd bör undvikas (SLU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 xml:space="preserve">Kornig nållav </w:t>
      </w:r>
      <w:r>
        <w:t xml:space="preserve">förekommer i skuggiga miljöer med hög luftfuktighet och påträffas främst i gamla skogar eller på gamla träd. Den signalerar höga naturvärden och på lokalerna finns ofta flera ovanliga och rödlistade arter. Kornig nållav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blekticka (NT, T), dvärgbägarlav (NT, T), entita (NT, T, §4), gammelekslav (NT, T), mindre hackspett (NT, T, §4), rosa skärelav (NT, T), tallticka (NT, T), vedskivlav (NT, T), gulpudrad spiklav (S, T), kornig nållav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