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37896-2022 i Vimmerby kommun</w:t>
      </w:r>
    </w:p>
    <w:p>
      <w:r>
        <w:t>Detta klagomål behandlar höga naturvärden i avverkningsanmälan A 37896-2022 i Vimmerby kommun som inkom 2022-09-07 och omfattar 62,2 ha.</w:t>
      </w:r>
    </w:p>
    <w:p>
      <w:pPr>
        <w:pStyle w:val="Caption"/>
      </w:pPr>
      <w:r>
        <w:drawing>
          <wp:inline xmlns:a="http://schemas.openxmlformats.org/drawingml/2006/main" xmlns:pic="http://schemas.openxmlformats.org/drawingml/2006/picture">
            <wp:extent cx="5486400" cy="3787764"/>
            <wp:docPr id="1" name="Picture 1"/>
            <wp:cNvGraphicFramePr>
              <a:graphicFrameLocks noChangeAspect="1"/>
            </wp:cNvGraphicFramePr>
            <a:graphic>
              <a:graphicData uri="http://schemas.openxmlformats.org/drawingml/2006/picture">
                <pic:pic>
                  <pic:nvPicPr>
                    <pic:cNvPr id="0" name="A 37896-2022 karta.png"/>
                    <pic:cNvPicPr/>
                  </pic:nvPicPr>
                  <pic:blipFill>
                    <a:blip r:embed="rId16"/>
                    <a:stretch>
                      <a:fillRect/>
                    </a:stretch>
                  </pic:blipFill>
                  <pic:spPr>
                    <a:xfrm>
                      <a:off x="0" y="0"/>
                      <a:ext cx="5486400" cy="378776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6376862, E 570746 i SWEREF 99 TM.</w:t>
      </w:r>
    </w:p>
    <w:p>
      <w:r>
        <w:t>I och inom 23 meter från avverkningsanmälan finns fynd av 50 naturvårdsarter, varav 22 är rödlistade, 11 är fridlysta, 37 är typiska (T) och 21 är signalarter (S): gropig skägglav (VU), knärot (VU, T, §8), ostticka (VU, T), slåttergubbe (VU), brunpudrad nållav (NT, T), dropptaggsvamp (NT, T), dvärgbägarlav (NT, T), ekticka (NT, T), fjällig taggsvamp s.str. (NT), gammelekslav (NT, T), jungfrulin (NT), mindre hackspett (NT, T, §4), rosa skärelav (NT, T), rutskinn (NT, T), rynkskinn (NT, T), skogstrappmossa (NT), solvända (NT), tallticka (NT, T), talltita (NT, §4), ullticka (NT, T), vedskivlav (NT, T), vedtrappmossa (NT, T), barkticka (S, T), blomskägglav (S, T), blåmossa (S, T), bronshjon (S, T), dvärgtufs (S), flagellkvastmossa (S, T), fällmossa (S, T), grovticka (S, T), grön sköldmossa (S, T, §8), grönpyrola (S, T), guldlockmossa (S, T), gullgröppa (S), gulnål (S, T), gulpudrad spiklav (S, T), kornig nållav (S, T), mindre märgborre (S, T), rostfläck (S, T), sotlav (S, T), stubbspretmossa (S, T), vätteros (S, T), vågbandad barkbock (S), blåsippa (T, §9), mattlummer (T, §9), spillkråka (T, §4), tjäder (T, §4), grönsiska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Gropig skägglav (VU)</w:t>
      </w:r>
      <w:r>
        <w:t xml:space="preserve"> växer på träd i flera olika miljöer, både kulturmark som alléer och i gammal skog. Är sannolikt känslig för luftföroreningar liksom slutavverkning av gammal skog men orsaken till tillbakagången är delvis oklar. Minskningstakten har uppgått till 30 (20–40) % under de senaste 50 åren och överstiger gränsvärdet för sårbar (VU). Arten påverkas negativt av brist på kontinuitetsskog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60 fyndplatser för knärot registrerade på Artportalen. Figur 2 visar gränserna för buffertzoner på 50 m, som behöver lämnas kring fyndplatserna för att knärotslokalerna inte ska försvinna vid en avverkning. Av det avverkningsanmälda området överlappar 14.33 ha med buffertzonerna och får av detta skäl inte avverkas.</w:t>
      </w:r>
    </w:p>
    <w:p>
      <w:pPr>
        <w:pStyle w:val="Caption"/>
      </w:pPr>
      <w:r>
        <w:drawing>
          <wp:inline xmlns:a="http://schemas.openxmlformats.org/drawingml/2006/main" xmlns:pic="http://schemas.openxmlformats.org/drawingml/2006/picture">
            <wp:extent cx="5486400" cy="5910931"/>
            <wp:docPr id="2" name="Picture 2"/>
            <wp:cNvGraphicFramePr>
              <a:graphicFrameLocks noChangeAspect="1"/>
            </wp:cNvGraphicFramePr>
            <a:graphic>
              <a:graphicData uri="http://schemas.openxmlformats.org/drawingml/2006/picture">
                <pic:pic>
                  <pic:nvPicPr>
                    <pic:cNvPr id="0" name="A 37896-2022 karta knärot.png"/>
                    <pic:cNvPicPr/>
                  </pic:nvPicPr>
                  <pic:blipFill>
                    <a:blip r:embed="rId17"/>
                    <a:stretch>
                      <a:fillRect/>
                    </a:stretch>
                  </pic:blipFill>
                  <pic:spPr>
                    <a:xfrm>
                      <a:off x="0" y="0"/>
                      <a:ext cx="5486400" cy="59109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6376862, E 570746 i SWEREF 99 TM.</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Skogstrappmossa (NT) </w:t>
      </w:r>
      <w:r>
        <w:t>är knuten till barrnaturskog med höga naturvärden där den växer på murkna stammar, oftast grova granlågor. Då och då hittas den även på beskuggade urbergsklippor och på fuktig ved i sumpskog. Minskad förekomst av grov död ved av främst barrträd innebär ett hot. Då arten även kräver hög luftfuktighet och skugga utgör alla skogsskötselåtgärder på eller i omedelbar närhet av lokalerna ett hot. På kända lokaler bör ingen avverkning ske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Blomskägglav</w:t>
      </w:r>
      <w:r>
        <w:t xml:space="preserve"> är en ljusälskande och fuktighetskrävande art som framför allt växer på ek högt upp i trädkronorna, där den sitter på ovansidan av klena grenar. Blomskägglav är en bra signalart, speciellt för artfattiga ekskogar med få andra signalarter och ekar i skogsbryn med rika bestånd av olika skägglavar bör regelmässigt sparas. Blomskägglav är typisk art för </w:t>
      </w:r>
      <w:r>
        <w:rPr>
          <w:i/>
        </w:rPr>
        <w:t>9160 Näringsrik ekskog</w:t>
      </w:r>
      <w:r>
        <w:t xml:space="preserve"> och </w:t>
      </w:r>
      <w:r>
        <w:rPr>
          <w:i/>
        </w:rPr>
        <w:t>9190 Näringsfattig ekskog</w:t>
      </w:r>
      <w:r>
        <w:t xml:space="preserve"> (SLU Artdatabanken, 2024;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43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50 naturvårdsarter varav 22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