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37421-2022 i Borgholms kommun</w:t>
      </w:r>
    </w:p>
    <w:p>
      <w:r>
        <w:t>Denna tillsynsbegäran behandlar höga naturvärden i avverkningsanmälan A 37421-2022 i Borgholms kommun som inkom 2022-09-05 och omfattar 3,4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37421-2022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6348396, E 623721 i SWEREF 99 TM.</w:t>
      </w:r>
    </w:p>
    <w:p>
      <w:r>
        <w:t>I och inom 16 meter från avverkningsanmälan finns fynd av 15 naturvårdsarter, varav 4 är rödlistade, 10 är fridlysta, 3 är typiska (T) och 5 är signalarter (S): höstlåsbräken (NT, §8), loppstarr (NT), majviva (NT), sammetsfrölöpare (NT), murgröna (S, T), skogsknipprot (S, T, §8), tvåblad (S, §8), vit skogslilja (S, §8), ögonpyrola (S, T), halsbandsflugsnappare (§4), vanlig padda (§6), bredarun (§8), fläcknycklar (§8), kärrknipprot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