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7960-2023 i Borgholms kommun</w:t>
      </w:r>
    </w:p>
    <w:p>
      <w:r>
        <w:t>Denna tillsynsbegäran behandlar höga naturvärden i avverkningsanmälan A 7960-2023 i Borgholms kommun som inkom 2023-02-16 och omfattar 2,1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7960-2023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6285390, E 599122 i SWEREF 99 TM.</w:t>
      </w:r>
    </w:p>
    <w:p>
      <w:r>
        <w:t>Inom 25 meter från avverkningsanmälan finns fynd av 4 naturvårdsarter, varav 3 är rödlistade, 2 är typiska (T) och 1 är signalart (S): vresalm (CR), pilfotsspindling (NT), vippärt (NT, T) och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 xml:space="preserve">Pilfotsspindling (NT) </w:t>
      </w:r>
      <w:r>
        <w:t>är en mycket sällsynt art som bildar mykorrhiza med främst ek, sällsynt även hassel, bok och lind i ängsekskog, hässlen, löväng och blandad ädellövskog på kalkrik mark. Kalavverkning och gallring är de främsta hoten. Arten är så sällsynt att även mindre ingrepp i miljön på de fläckar där den förekommer, t.ex. gallring som medför att mykorrhiza-partnern avlägsnas, kan innebära att den försvinner. Om arten påträffas utanför naturreservat bör även dessa platser säkerställas. Arten kan långsiktigt gynnas av att fler områden med ädellövskog på kalkrik mark bevaras och att skogsbruk där helt undviks (SLU Artdatabanken, 2026).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