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3552-2024 i Borgholms kommun</w:t>
      </w:r>
    </w:p>
    <w:p>
      <w:r>
        <w:t>Detta klagomål behandlar höga naturvärden i samrådsanmälan S 3552-2024 i Borgholms kommun som inkom 2024-09-09 och omfattar 10,8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S 3552-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6350194, E 618267 i SWEREF 99 TM.</w:t>
      </w:r>
    </w:p>
    <w:p>
      <w:r>
        <w:t>I och inom 23 meter från samrådsanmälan finns fynd av 28 naturvårdsarter, varav 13 är rödlistade, 5 är fridlysta, 10 är typiska (T) och 12 är signalarter (S): ask (EN), skogsalm (EN), svartoxe (EN), slöjröksvamp (VU), ädellav (VU, T), axveronika (NT), bokvedvivel (NT), Crepis tectorum subsp. tectorum (NT), dvärgbägarlav (NT, T), flentimotej (NT), knottrig rottryffel (NT), sårläka (NT, T), ängsnätfjäril (NT), dvärghäxört (S, T), gulfotsskölding (S), kragjordstjärna (S), lundvårlök (S, T), lömsk flugsvamp (S), myskmadra (S, T), nästrot (S, §8), scharlakansvårskål agg. (S), skogsknipprot (S, T, §8), stor häxört (S), svart trolldruva (S, T), vätteros (S, T), blåsippa (T, §9),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