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43587-2021 i Borgholms kommun</w:t>
      </w:r>
    </w:p>
    <w:p>
      <w:r>
        <w:t>Detta dokument behandlar höga naturvärden i avverkningsanmälan A 43587-2021 i Borgholms kommun. Denna avverkningsanmälan inkom 2021-08-25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silverviol (CR, §8), entandad plattbagge (VU), hasselsnok (VU, §4a), Cypha apicalis (NT), igelkott (NT), långbensgroda (NT, §4a), Opilo mollis (NT), prydnadsbock (NT), spillkråka (NT, §4), svart askbastborre (NT), Trinodes hirtus (NT), tvåfärgad barksvartbagge (NT), vasstandad trädbasbagge (NT), bokoxe (S), ekoxe (S, §6), skogsknipprot (S, §8), större vattensalamander (§4a), huggorm (§6), vanlig padda (§6), vanlig snok (§6), sankt pers nycklar (§8) och gullviva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43587-2021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6304789, E 603148 i SWEREF 99 TM.</w:t>
      </w:r>
    </w:p>
    <w:p>
      <w:pPr>
        <w:pStyle w:val="Heading1"/>
      </w:pPr>
      <w:r>
        <w:t>Fridlysta arter</w:t>
      </w:r>
    </w:p>
    <w:p>
      <w:r>
        <w:t>Följande fridlysta arter har sina livsmiljöer och växtplatser i den avverkningsanmälda skogen: silverviol (CR, §8), hasselsnok (VU, §4a), långbensgroda (NT, §4a), spillkråka (NT, §4), ekoxe (S, §6), skogsknipprot (S, §8), större vattensalamander (§4a), huggorm (§6), vanlig padda (§6), vanlig snok (§6), sankt pers nycklar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