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1813-2026 i Borgholms kommun</w:t>
      </w:r>
    </w:p>
    <w:p>
      <w:r>
        <w:t>Denna tillsynsbegäran behandlar höga naturvärden i samrådsanmälan S 1813-2026 i Borgholms kommun som inkom 2026-06-24 och omfattar 1,8 ha.</w:t>
      </w:r>
    </w:p>
    <w:p>
      <w:pPr>
        <w:pStyle w:val="Caption"/>
      </w:pPr>
      <w:r>
        <w:drawing>
          <wp:inline xmlns:a="http://schemas.openxmlformats.org/drawingml/2006/main" xmlns:pic="http://schemas.openxmlformats.org/drawingml/2006/picture">
            <wp:extent cx="5486400" cy="5073220"/>
            <wp:docPr id="1" name="Picture 1"/>
            <wp:cNvGraphicFramePr>
              <a:graphicFrameLocks noChangeAspect="1"/>
            </wp:cNvGraphicFramePr>
            <a:graphic>
              <a:graphicData uri="http://schemas.openxmlformats.org/drawingml/2006/picture">
                <pic:pic>
                  <pic:nvPicPr>
                    <pic:cNvPr id="0" name="S 1813-2026 karta.png"/>
                    <pic:cNvPicPr/>
                  </pic:nvPicPr>
                  <pic:blipFill>
                    <a:blip r:embed="rId16"/>
                    <a:stretch>
                      <a:fillRect/>
                    </a:stretch>
                  </pic:blipFill>
                  <pic:spPr>
                    <a:xfrm>
                      <a:off x="0" y="0"/>
                      <a:ext cx="5486400" cy="507322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6357367, E 624707 i SWEREF 99 TM.</w:t>
      </w:r>
    </w:p>
    <w:p>
      <w:r>
        <w:t>I samrådsanmälan finns fynd av 1 naturvårdsarter, varav 1 är rödlistad: oxtungssvamp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Oxtungssvamp (NT)</w:t>
      </w:r>
      <w:r>
        <w:t xml:space="preserve"> växer nästan uteslutande på flerhundraåriga jätteekar i kulturlandskapet, till exempel i ekhagar och vid vägkanter, men kan även leva kvar på dess träd i mer slutna bestånd. Arten hotas av avverkning av värdträd och passande värdträd runt fyndplatserna samt av att olikåldriga bestånd med grov ek i hagmarks- och skogsmiljö avverkas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