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29656-2023 i Borgholms kommun</w:t>
      </w:r>
    </w:p>
    <w:p>
      <w:r>
        <w:t>Detta klagomål behandlar höga naturvärden i avverkningsanmälan A 29656-2023 i Borgholms kommun som inkom 2023-06-30 och omfattar 4,1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29656-2023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6352829, E 619787 i SWEREF 99 TM.</w:t>
      </w:r>
    </w:p>
    <w:p>
      <w:r>
        <w:t>Inom 22 meter från avverkningsanmälan finns fynd av 10 naturvårdsarter, varav 6 är rödlistade, 2 är typiska (T) och 4 är signalarter (S): blå halmlav (VU), klosterlav (VU), mörk kraterlav (VU), gammelekslav (NT, T), gul dropplav (NT), oxtungssvamp (NT), grå skärelav (S), gulpudrad spiklav (S, T), lönnlav (S) och tvåfläckig praktbagge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halmlav (VU)</w:t>
      </w:r>
      <w:r>
        <w:t xml:space="preserve"> förekommer huvudsakligen halvöppet eller i skugga på ekar och bokar i ek- eller bokskog, ibland i blandad ädellövskog. På Gotland förekommer arten i ängen och på solexponerade och torra lokaler. Arten växer huvudsakligen på grova stammar, ofta på platser nära vatten. Lokalerna har lång skoglig kontinuitet och hyser andra sällsynta lavar. Arten är känslig för avverkning av gamla träd. Skogsbruket måste anpassas till arten på och i närheten av de lokaler där den finns. På de gotländska lokalerna är en fortsatt hävd önskvärd (SLU Artdatabanken, 2025).</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