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45006-2025 i Borgholms kommun</w:t>
      </w:r>
    </w:p>
    <w:p>
      <w:r>
        <w:t>Detta klagomål behandlar höga naturvärden i avverkningsanmälan A 45006-2025 i Borgholms kommun som inkom 2025-09-18 och omfattar 7,8 ha.</w:t>
      </w:r>
    </w:p>
    <w:p>
      <w:pPr>
        <w:pStyle w:val="Caption"/>
      </w:pPr>
      <w:r>
        <w:drawing>
          <wp:inline xmlns:a="http://schemas.openxmlformats.org/drawingml/2006/main" xmlns:pic="http://schemas.openxmlformats.org/drawingml/2006/picture">
            <wp:extent cx="4455278" cy="5724000"/>
            <wp:docPr id="1" name="Picture 1"/>
            <wp:cNvGraphicFramePr>
              <a:graphicFrameLocks noChangeAspect="1"/>
            </wp:cNvGraphicFramePr>
            <a:graphic>
              <a:graphicData uri="http://schemas.openxmlformats.org/drawingml/2006/picture">
                <pic:pic>
                  <pic:nvPicPr>
                    <pic:cNvPr id="0" name="A 45006-2025 karta.png"/>
                    <pic:cNvPicPr/>
                  </pic:nvPicPr>
                  <pic:blipFill>
                    <a:blip r:embed="rId16"/>
                    <a:stretch>
                      <a:fillRect/>
                    </a:stretch>
                  </pic:blipFill>
                  <pic:spPr>
                    <a:xfrm>
                      <a:off x="0" y="0"/>
                      <a:ext cx="4455278"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6355920, E 622595 i SWEREF 99 TM.</w:t>
      </w:r>
    </w:p>
    <w:p>
      <w:r>
        <w:t>I och inom 25 meter från avverkningsanmälan finns fynd av 15 naturvårdsarter, varav 6 är rödlistade, 6 är fridlysta, 6 är typiska (T) och 6 är signalarter (S): skogskorn (VU, T), axveronika (NT), kattfotslav (NT, T), mindre ekbock (NT), skugglosta (NT), vårstarr (NT), gulpudrad spiklav (S, T), murgröna (S, T), myskmadra (S, T), skogsknipprot (S, T, §8), tvåblad (S, §8), vit skogslilja (S, §8), johannesnycklar (§8), krutbrännare (§8)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Skogskorn (VU) </w:t>
      </w:r>
      <w:r>
        <w:t xml:space="preserve">är ett mycket sällsynt och värmeälskande lundgräs som växer på kalkhaltig mark i halvöppna ödellövskogar och extremrika kalkbarrskogar. Arten är placerad högst upp i Skogsstyrelsens värdepyramid för bedömning av skog med höga naturvärden. Dess växtplatser bör ej betas eller slutavverkas. Skogskorn är typisk art för </w:t>
      </w:r>
      <w:r>
        <w:rPr>
          <w:i/>
        </w:rPr>
        <w:t>9020 Nordlig ädellövskog</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Mindre ekbock (NT)</w:t>
      </w:r>
      <w:r>
        <w:t xml:space="preserve"> är en skalbagge vars larvutveckling sker i nyligen döda grenar och klena stammar av olika lövträd, i Sverige främst ek och hassel men även bok, avenbok, björk, hägg, alm och apel. Arten gynnas av att glesa, lövrika blandskogar med ek och hassel bibehålls öppna och inte växer igen med gran. Främsta hotet är brist på lämplig ved till följd av avverkning av lövskog och uttag av biobränsle. Lövrika biotoper med gammal ek och hassel bör bevaras, och inte avverkas. Mindre ekbock ingår i ett åtgärdsprogram för hotade arter (ÅGP) (SLU Artdatabanken, 2024; Franc, 2013).</w:t>
      </w:r>
    </w:p>
    <w:p>
      <w:r>
        <w:rPr>
          <w:b/>
        </w:rPr>
        <w:t xml:space="preserve">Skugglosta (NT) </w:t>
      </w:r>
      <w:r>
        <w:t>är ett sällsynt och exklusivt lundgräs som framför allt växer i ädellövskog men ofta även i örtrik barrskog. Den finns på både väldränerade marker och i små översilningskärr. Arten är kalkgynnad och förekommer inte på mark med pH under 5,0. Arten är placerad högst upp i Skogsstyrelsens värdepyramid för bedömning av skog med höga naturvärden och på växtplatserna finns normalt många andra rödlistade och hotade arter (SLU Artdatabanken, 2024; Nitare &amp; Skogsstyrelsen, 2019).</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