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34948-2022 i Borgholms kommun</w:t>
      </w:r>
    </w:p>
    <w:p>
      <w:r>
        <w:t>Detta klagomål behandlar höga naturvärden i avverkningsanmälan A 34948-2022 i Borgholms kommun som inkom 2022-08-23 och omfattar 2,8 ha.</w:t>
      </w:r>
    </w:p>
    <w:p>
      <w:pPr>
        <w:pStyle w:val="Caption"/>
      </w:pPr>
      <w:r>
        <w:drawing>
          <wp:inline xmlns:a="http://schemas.openxmlformats.org/drawingml/2006/main" xmlns:pic="http://schemas.openxmlformats.org/drawingml/2006/picture">
            <wp:extent cx="5486400" cy="4622300"/>
            <wp:docPr id="1" name="Picture 1"/>
            <wp:cNvGraphicFramePr>
              <a:graphicFrameLocks noChangeAspect="1"/>
            </wp:cNvGraphicFramePr>
            <a:graphic>
              <a:graphicData uri="http://schemas.openxmlformats.org/drawingml/2006/picture">
                <pic:pic>
                  <pic:nvPicPr>
                    <pic:cNvPr id="0" name="A 34948-2022 karta.png"/>
                    <pic:cNvPicPr/>
                  </pic:nvPicPr>
                  <pic:blipFill>
                    <a:blip r:embed="rId16"/>
                    <a:stretch>
                      <a:fillRect/>
                    </a:stretch>
                  </pic:blipFill>
                  <pic:spPr>
                    <a:xfrm>
                      <a:off x="0" y="0"/>
                      <a:ext cx="5486400" cy="46223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6346092, E 620059 i SWEREF 99 TM.</w:t>
      </w:r>
    </w:p>
    <w:p>
      <w:r>
        <w:t>I och inom 21 meter från avverkningsanmälan finns fynd av 19 naturvårdsarter, varav 14 är rödlistade, 3 är fridlysta, 3 är typiska (T) och 4 är signalarter (S): tallkejsarspindling (EN), blåfotad fagerspindling (VU), brödmusseron (VU), fågelträcksspindling (VU), gulsträngad fagerspindling (VU), silverfotsspindling (VU), skillerticka (VU), svartgrön spindling (VU), trollspindling (VU), barrfagerspindling (NT), bittermusseron (NT), fjällig taggsvamp s.str. (NT), juvelspindling (NT), persiljespindling (NT), fransig jordstjärna (S), murgröna (S, T), purpurknipprot (S, §8), skogsknipprot (S, T, §8)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Tallkejsarspindling (EN)</w:t>
      </w:r>
      <w:r>
        <w:t xml:space="preserve"> är en starkt hotad art som bildar mykorrhiza med tall, sällsynt möjligen även med gran, i kalkbarrskog. Arten är mycket sällsynt i Norden och bara känd från enstaka platser på Gotland, norra Öland samt någon enstaka kustnära lokal i nordöstra Uppland. Den är placerad högst upp i Skogsstyrelsens värdepyramid för bedömning av skog med höga naturvärden och hotas av skogsbruk med slutavverkningar eller andra avverkningar. Samtliga lokaler och växtplatser bör få ett formellt skydd (SLU Artdatabanken, 2026; Nitare &amp; Skogsstyrelsen, 2019).</w:t>
      </w:r>
    </w:p>
    <w:p>
      <w:r>
        <w:rPr>
          <w:b/>
        </w:rPr>
        <w:t xml:space="preserve">Blåfotad fagerspindling (VU) </w:t>
      </w:r>
      <w:r>
        <w:t>bildar mykorrhiza med barrträd och växer enbart i örtrika äldre grandominerade kalkbarrskogar med lång kontinuitet och hög bonitet, miljöer som idag är starkt hotade av slutavverkningar.</w:t>
      </w:r>
      <w:r>
        <w:rPr>
          <w:b/>
        </w:rPr>
        <w:t xml:space="preserve"> </w:t>
      </w:r>
      <w:r>
        <w:t>Arten är placerad högst upp i Skogsstyrelsens värdepyramid för bedömning av skog med höga naturvärden och är liksom en lång rad följearter knutna till kalkrika barrblandskogar med lång kontinuitet beroende av områdesskydd eller naturvårdsavtal som förhindrar slutavverkningar av dess växtmiljöer (SLU Artdatabanken, 2024; Nitare &amp; Skogsstyrelsen, 2019).</w:t>
      </w:r>
    </w:p>
    <w:p>
      <w:r>
        <w:rPr>
          <w:b/>
        </w:rPr>
        <w:t xml:space="preserve">Brödmusseron (VU) </w:t>
      </w:r>
      <w:r>
        <w:t>är en mycket sällsynt art som påträffas i ädellövskog, främst under äldre ekar. Skogsbruk som innebär att miljön på växtplatserna förstörs eller förändras innebär troligen att arten försvinner. Samtliga kända växtplatserna måste säkerställas om förhållandena är intakta och förutsättningar för ett långsiktigt bevarande är goda. Arten är placerad högst upp i Skogsstyrelsens värdepyramid för bedömning av skog med höga naturvärden (SLU Artdatabanken, 2026; Nitare &amp; Skogsstyrelsen, 2019).</w:t>
      </w:r>
    </w:p>
    <w:p>
      <w:r>
        <w:rPr>
          <w:b/>
        </w:rPr>
        <w:t xml:space="preserve">Fågelträcksspindling (VU) </w:t>
      </w:r>
      <w:r>
        <w:t>bildar mykorrhiza med tall och/eller gran i luckig och ljusöppen talldominerad kalkbarrskog. Huvudsakliga andelen av landets population finns på Gotland och i Uppland. Den totala populationen i landet bedöms ha minskat och förväntas fortsätta minska på grund av slutavverkning av äldre kalkbarrskog och kontinuitetsskog. Minskningstakten uppgår till 30 (15–50) % inom 50 år och överstiger gränsvärdet för Sårbar (VU) (SLU Artdatabanken, 2026).</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 xml:space="preserve">Silverfotsspindling (VU) </w:t>
      </w:r>
      <w:r>
        <w:t>bildar mykorrhiza med ek, bok och hassel och växer i hässlen och i lövängar på kalkrik mark. Genom sin begränsade populationsstorlek är den mycket sårbar och det främsta hotet mot arten är avverkning av de värdträd som den är helt beroende av. En långsiktig tillgång till värdträd säkras genom att växtplatserna undantas från avverkning (SLU Artdatabanken, 2024).</w:t>
      </w:r>
    </w:p>
    <w:p>
      <w:r>
        <w:rPr>
          <w:b/>
        </w:rPr>
        <w:t xml:space="preserve">Skillerticka (VU) </w:t>
      </w:r>
      <w:r>
        <w:t xml:space="preserve">är en sydlig ädellövskogsart framförallt knuten till bok, påträffas i parker, bokskog eller andra ädellövsmiljöer. Arten hotas av att olikåldriga bestånd med främst bok i hagmarks- och skogsmiljö avverkas. Spara värdträd och passande värdträd på svampens växtplatser. Olikåldriga bestånd med främst bok i hagmarks- och skogsmiljö sparas. En sällsynt och starkt hotad skalbagge </w:t>
      </w:r>
      <w:r>
        <w:rPr>
          <w:i/>
        </w:rPr>
        <w:t>Dorcatoma ambjoerni</w:t>
      </w:r>
      <w:r>
        <w:t xml:space="preserve"> (EN) har sin larvutveckling i fruktkroppar av skillerticka (SLU Artdatabanken, 2025).</w:t>
      </w:r>
    </w:p>
    <w:p>
      <w:r>
        <w:rPr>
          <w:b/>
        </w:rPr>
        <w:t>Svartgrön spindling (VU)</w:t>
      </w:r>
      <w:r>
        <w:t>, som bildar mykorrhiza med gran och tall i ängsgranskog och barrblandskog på kalkrik mark, har i Sverige sin huvudsakliga utbredning på Gotland. Arten är placerad högst upp i Skogsstyrelsens värdepyramid för bedömning av skog med höga naturvärden och den missgynnas av intensivt skogsbruk och kalavverkningar. Svartgrön spindling är globalt rödlistad som nära hotad (NT)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Barrfagerspindling (NT)</w:t>
      </w:r>
      <w:r>
        <w:t xml:space="preserve"> bildar mykorrhiza med gran, möjligen också med tall, i äldre kalkbarrskog. Den totala populationen i landet har minskat och bedöms fortsätta minska till följd av avverkning av äldre kalkbarrskog.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Minskningstakten för den svenska populationen bedöms vara nära gränsvärdet för Sårbar (VU) (SLU Artdatabanken, 2026).</w:t>
      </w:r>
    </w:p>
    <w:p>
      <w:r>
        <w:rPr>
          <w:b/>
        </w:rPr>
        <w:t>Bittermusseron (NT)</w:t>
      </w:r>
      <w:r>
        <w:t xml:space="preserve"> är en kalkgynnad och värmeälskande förnasvamp som påträffas i äldre kalkbarrskogar, gärna på relativt torr mark. Virkesrika, äldre barrskogar med hög bonitet, på bättre jordar är en bristvara i befintliga, skyddade områden i Sverige. Därför måste fler örtrika barrskogar, särskilt de med trädkontinuitet, skyddas i större utsträckning än vad som tidigare gjorts. Uttag av skog ska helst göras genom plockhuggning, blädning eller andra alternativa, skonsamma avverkningsformer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Juvelspindling (NT) </w:t>
      </w:r>
      <w:r>
        <w:t>bildar mykorrhiza med främst ek och bok, men sällsynt även med hassel och lind i ängsbokskog, ek-hassellund, löväng och lågskogar av hassel (hässlen). Avverkning av artens värdträd, ändrad markanvändning och omföring av lövskog till barrskog är de viktigaste hoten. Platser där arten ännu finns kvar bör skyddas från omfattande avverkningar eller andra förändringar av miljön (SLU Artdatabanken, 2025).</w:t>
      </w:r>
    </w:p>
    <w:p>
      <w:r>
        <w:rPr>
          <w:b/>
        </w:rPr>
        <w:t>Persiljespindling (NT)</w:t>
      </w:r>
      <w:r>
        <w:t xml:space="preserve"> bildar mykorrhiza med tall, gran och bok i ängsgranskog, kalktallskog och i ängsbokskog på rikare mark. Minskningstakten uppgår till 15 % inom 50 år och bedöms vara nära gränsvärdet för Sårbar (VU). (A2c+3c+4c). Persiljespindlingen hotas av avverkningar och är särskilt känslig eftersom den är knuten till äldre, produktiv barrskog, d.v.s. en skogstyp som är en bristvara i skyddade områden i Sverige och som samtidigt försvinner i snabb takt genom slutavverkningar. Skyddet för äldre ört- och kalkrika barrskogar med trädkontinuitet måste öka och oskyddade bokskogar med persiljespindling måste få ett formellt skydd i form av biotopskydd eller naturreservat (SLU Artdatabanken, 2024).</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Skogsknipprot (§8)</w:t>
      </w:r>
      <w:r>
        <w:t xml:space="preserve"> är fridlyst enligt 8§ artskyddsförordningen och typisk art för </w:t>
      </w:r>
      <w:r>
        <w:rPr>
          <w:i/>
        </w:rPr>
        <w:t>9050 Näringsrik granskog</w:t>
      </w:r>
      <w:r>
        <w:t xml:space="preserv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