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34948-2022 i Borgholms kommun</w:t>
      </w:r>
    </w:p>
    <w:p>
      <w:r>
        <w:t>Denna tillsynsbegäran behandlar höga naturvärden i avverkningsanmälan A 34948-2022 i Borgholms kommun som inkom 2022-08-23 och omfattar 2,8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34948-2022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6346092, E 620059 i SWEREF 99 TM.</w:t>
      </w:r>
    </w:p>
    <w:p>
      <w:r>
        <w:t>I och inom 21 meter från avverkningsanmälan finns fynd av 19 naturvårdsarter, varav 14 är rödlistade, 3 är fridlysta, 3 är typiska (T) och 4 är signalarter (S): tallkejsarspindling (EN), blåfotad fagerspindling (VU), brödmusseron (VU), fågelträcksspindling (VU), gulsträngad fagerspindling (VU), silverfotsspindling (VU), skillerticka (VU), svartgrön spindling (VU), trollspindling (VU), barrfagerspindling (NT), bittermusseron (NT), fjällig taggsvamp s.str. (NT), juvelspindling (NT), persiljespindling (NT), fransig jordstjärna (S), murgröna (S, T), purpurknipprot (S, §8),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Tallkejsarspindling (EN)</w:t>
      </w:r>
      <w:r>
        <w:t xml:space="preserve"> är en starkt hotad art som bildar mykorrhiza med tall, sällsynt möjligen även med gran, i kalkbarrskog. Arten är mycket sällsynt i Norden och bara känd från enstaka platser på Gotland, norra Öland samt någon enstaka kustnära lokal i nordöstra Uppland. Den är placerad högst upp i Skogsstyrelsens värdepyramid för bedömning av skog med höga naturvärden och hotas av skogsbruk med slutavverkningar eller andra avverkningar. Samtliga lokaler och växtplatser bör få ett formellt skydd (SLU Artdatabanken, 2026; Nitare &amp; Skogsstyrelsen, 2019).</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 xml:space="preserve">Brödmusseron (VU) </w:t>
      </w:r>
      <w:r>
        <w:t>är en mycket sällsynt art som påträffas i ädellövskog, främst under äldre ekar. Skogsbruk som innebär att miljön på växtplatserna förstörs eller förändras innebär troligen att arten försvinner. Samtliga kända växtplatserna måste säkerställas om förhållandena är intakta och förutsättningar för ett långsiktigt bevarande är goda. Arten är placerad högst upp i Skogsstyrelsens värdepyramid för bedömning av skog med höga naturvärden (SLU Artdatabanken, 2026; Nitare &amp; Skogsstyrelsen, 2019).</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Silverfotsspindling (VU) </w:t>
      </w:r>
      <w:r>
        <w:t>bildar mykorrhiza med ek, bok och hassel och växer i hässlen och i lövängar på kalkrik mark. Genom sin begränsade populationsstorlek är den mycket sårbar och det främsta hotet mot arten är avverkning av de värdträd som den är helt beroende av. En långsiktig tillgång till värdträd säkras genom att växtplatserna undantas från avverkning (SLU Artdatabanken, 2024).</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Juvelspindling (NT) </w:t>
      </w:r>
      <w:r>
        <w:t>bildar mykorrhiza med främst ek och bok, men sällsynt även med hassel och lind i ängsbokskog, ek-hassellund, löväng och lågskogar av hassel (hässlen). Avverkning av artens värdträd, ändrad markanvändning och omföring av lövskog till barrskog är de viktigaste hoten. Platser där arten ännu finns kvar bör skyddas från omfattande avverkningar eller andra förändringar av miljön (SLU Artdatabanken, 2025).</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