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9028-2025 i Borgholms kommun</w:t>
      </w:r>
    </w:p>
    <w:p>
      <w:r>
        <w:t>Denna tillsynsbegäran behandlar höga naturvärden i avverkningsanmälan A 9028-2025 i Borgholms kommun som inkom 2025-02-25 och omfattar 3,0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6345908, E 619953 i SWEREF 99 TM.</w:t>
      </w:r>
    </w:p>
    <w:p>
      <w:r>
        <w:t>I och inom 14 meter från avverkningsanmälan finns fynd av 8 naturvårdsarter, varav 6 är rödlistade och 2 är signalarter (S): gulsträngad fagerspindling (VU), hasselbock (VU), kopparspindling (VU), sydlig gyllenspindling (VU), trollspindling (VU), persiljespindling (NT), brandmusseron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Hasselbock (VU)</w:t>
      </w:r>
      <w:r>
        <w:t xml:space="preserve"> är en skalbagge vars larvutveckling sker i veden på solexponerade, levande årsskott av hassel. Angrepp kan kännas igen genom att honan vid äggläggningen nästan helt gnager av skottspetsen som sedan vissnar och hänger ned. Arten missgynnas av att gamla, solexponerade hasselrunnor förvinner genom röjning eller igenväxning. Gamla, solexponerade hasselrunnor bör alltid bevaras, och inte röjas bort. Hasselbock ingår i ett åtgärdsprogram för hotade arter (ÅGP) (SLU Artdatabanken, 2024; Franc, 2013).</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