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46794-2025 i Borgholms kommun</w:t>
      </w:r>
    </w:p>
    <w:p>
      <w:r>
        <w:t>Detta klagomål behandlar höga naturvärden i avverkningsanmälan A 46794-2025 i Borgholms kommun som inkom 2025-09-26 och omfattar 0,7 ha.</w:t>
      </w:r>
    </w:p>
    <w:p>
      <w:pPr>
        <w:pStyle w:val="Caption"/>
      </w:pPr>
      <w:r>
        <w:drawing>
          <wp:inline xmlns:a="http://schemas.openxmlformats.org/drawingml/2006/main" xmlns:pic="http://schemas.openxmlformats.org/drawingml/2006/picture">
            <wp:extent cx="5486400" cy="5690019"/>
            <wp:docPr id="1" name="Picture 1"/>
            <wp:cNvGraphicFramePr>
              <a:graphicFrameLocks noChangeAspect="1"/>
            </wp:cNvGraphicFramePr>
            <a:graphic>
              <a:graphicData uri="http://schemas.openxmlformats.org/drawingml/2006/picture">
                <pic:pic>
                  <pic:nvPicPr>
                    <pic:cNvPr id="0" name="A 46794-2025 karta.png"/>
                    <pic:cNvPicPr/>
                  </pic:nvPicPr>
                  <pic:blipFill>
                    <a:blip r:embed="rId16"/>
                    <a:stretch>
                      <a:fillRect/>
                    </a:stretch>
                  </pic:blipFill>
                  <pic:spPr>
                    <a:xfrm>
                      <a:off x="0" y="0"/>
                      <a:ext cx="5486400" cy="569001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6356237, E 622666 i SWEREF 99 TM.</w:t>
      </w:r>
    </w:p>
    <w:p>
      <w:r>
        <w:t>I och inom 19 meter från avverkningsanmälan finns fynd av 6 naturvårdsarter, varav 2 är rödlistade, 2 är fridlysta, 4 är typiska (T) och 3 är signalarter (S): mindre ekbock (NT), sårläka (NT, T), murgröna (S, T), myskmadra (S, T), vit skogslilja (S,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Mindre ekbock (NT)</w:t>
      </w:r>
      <w:r>
        <w:t xml:space="preserve"> är en skalbagge vars larvutveckling sker i nyligen döda grenar och klena stammar av olika lövträd, i Sverige främst ek och hassel men även bok, avenbok, björk, hägg, alm och apel. Arten gynnas av att glesa, lövrika blandskogar med ek och hassel bibehålls öppna och inte växer igen med gran. Främsta hotet är brist på lämplig ved till följd av avverkning av lövskog och uttag av biobränsle. Lövrika biotoper med gammal ek och hassel bör bevaras, och inte avverkas. Mindre ekbock ingår i ett åtgärdsprogram för hotade arter (ÅGP) (SLU Artdatabanken, 2024; Franc, 2013).</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