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3552-2024 i Borgholms kommun</w:t>
      </w:r>
    </w:p>
    <w:p>
      <w:r>
        <w:t>Detta klagomål behandlar höga naturvärden i samrådsanmälan S 3552-2024 i Borgholms kommun som inkom 2024-09-09 och omfattar 10,8 ha.</w:t>
      </w:r>
    </w:p>
    <w:p>
      <w:pPr>
        <w:pStyle w:val="Caption"/>
      </w:pPr>
      <w:r>
        <w:drawing>
          <wp:inline xmlns:a="http://schemas.openxmlformats.org/drawingml/2006/main" xmlns:pic="http://schemas.openxmlformats.org/drawingml/2006/picture">
            <wp:extent cx="5486400" cy="5044368"/>
            <wp:docPr id="1" name="Picture 1"/>
            <wp:cNvGraphicFramePr>
              <a:graphicFrameLocks noChangeAspect="1"/>
            </wp:cNvGraphicFramePr>
            <a:graphic>
              <a:graphicData uri="http://schemas.openxmlformats.org/drawingml/2006/picture">
                <pic:pic>
                  <pic:nvPicPr>
                    <pic:cNvPr id="0" name="S 3552-2024 karta.png"/>
                    <pic:cNvPicPr/>
                  </pic:nvPicPr>
                  <pic:blipFill>
                    <a:blip r:embed="rId16"/>
                    <a:stretch>
                      <a:fillRect/>
                    </a:stretch>
                  </pic:blipFill>
                  <pic:spPr>
                    <a:xfrm>
                      <a:off x="0" y="0"/>
                      <a:ext cx="5486400" cy="5044368"/>
                    </a:xfrm>
                    <a:prstGeom prst="rect"/>
                  </pic:spPr>
                </pic:pic>
              </a:graphicData>
            </a:graphic>
          </wp:inline>
        </w:drawing>
      </w:r>
    </w:p>
    <w:p>
      <w:pPr>
        <w:pStyle w:val="Caption"/>
        <w:spacing w:after="240"/>
      </w:pPr>
      <w:r>
        <w:t>Figur 1. Fyndplatser för naturvårdsarter i och inom 23 meter från samrådsanmälan. Markörer utan svart kant är placerade på fyndplatsen. Markörer med svart kant är placerade vid sidan av fyndplatsen och har ett svart streck som visar fyndplatsens exakta position. Kartans mittpunktskoordinat är N 6350194, E 618267 i SWEREF 99 TM.</w:t>
      </w:r>
    </w:p>
    <w:p>
      <w:r>
        <w:t>I och inom 23 meter från samrådsanmälan finns fynd av 28 naturvårdsarter, varav 13 är rödlistade, 5 är fridlysta, 10 är typiska (T) och 12 är signalarter (S): ask (EN), skogsalm (EN), svartoxe (EN), slöjröksvamp (VU), ädellav (VU, T), axveronika (NT), bokvedvivel (NT), Crepis tectorum subsp. tectorum (NT), dvärgbägarlav (NT, T), flentimotej (NT), knottrig rottryffel (NT), sårläka (NT, T), ängsnätfjäril (NT), dvärghäxört (S, T), gulfotsskölding (S), kragjordstjärna (S), lundvårlök (S, T), lömsk flugsvamp (S), myskmadra (S, T), nästrot (S, §8), scharlakansvårskål agg. (S), skogsknipprot (S, T, §8), stor häxört (S), svart trolldruva (S, T), vätteros (S, T), blåsippa (T, §9), fläcknycklar (§8) och gullviva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Ask (EN)</w:t>
      </w:r>
      <w:r>
        <w:t xml:space="preserve"> växer naturligt på frisk till fuktig, näringsrik, mullrik mark, gärna med rörligt, ytnära grundvatten. Asken är mycket viktig för den biologiska mångfalden och den är värd för minst 213 arter i olika organismgrupper, av vilka åtminstone 42 är askspecialister, ytterligare 8 arter förekommer endast på ask och alm. Bland dessa kan nämnas asknätfjäril (EN, §4a), askvårtlav (EN) och askpraktbagge (NT). Det finns en ökad risk att dessa arter försvinner när populationen av ask minskar. Asken är kraftigt drabbad av askskottsjukan, men angripna askar bör inte avverkas eftersom det är så många andra arter knutna till ask, såväl till döda som till levande träd. Eftersom sjukdomen är vindspridd så finns den redan nästan överallt där det finns askar, och till skillnad från almsjukan så förhindrar eller försvårar man inte spridningen genom att ta bort träd. Asken är globalt rödlistad som nära hotad (NT) vilket medför ett internationellt ansvar för arten (SLU Artdatabanken, 2026; IUCN, 2017).</w:t>
      </w:r>
    </w:p>
    <w:p>
      <w:r>
        <w:rPr>
          <w:b/>
        </w:rPr>
        <w:t>Svartoxe (EN)</w:t>
      </w:r>
      <w:r>
        <w:t xml:space="preserve"> är en starkt hotad skalbagge som är bunden till lågor av grova dimensioner i täta naturskogar. Den omfattas av ett åtgärdsprogram för hotade arter (ÅGP) och är globalt rödlistad som nära notad (NT) vilket innebär att Sverige har ett internationellt ansvar för arten. Eftersom svartoxen är mycket svår att gynna via normala hänsynstaganden i skogsbruket bör istället bildande av naturreservat vara det lämpligaste instrumentet att bevara den utanför redan fredade områden. I några fall kan nyckelbiotoper fortfarande hysa arten. I så fall bör ett större område avsättas som skyddskappa runt området, och reservatsbildning övervägas (SLU Artdatabanken, 2024; IUCN, 2010; Hedin, 2010).</w:t>
      </w:r>
    </w:p>
    <w:p>
      <w:r>
        <w:rPr>
          <w:b/>
        </w:rPr>
        <w:t xml:space="preserve">Slöjröksvamp (VU) </w:t>
      </w:r>
      <w:r>
        <w:t>är en exklusiv svamp som har ett mycket högt signalvärde. Den indikerar lokalklimatiskt varma ädellövskogar och lundar på kalkrika mulljordar, där varje lokal troligen har mycket långvarig kontinuitet av ädellövträd och hassel. Samtliga växtplatser är starkt skyddsvärda och den växer alltid tillsammans med en rad andra ovanliga och rödlistade arter. Slöjröksvamp är placerad högst upp i Skogsstyrelsens värdepyramid för bedömning av skog med höga naturvärden och den omfattas av ett åtgärdsprogram för hotade arter (ÅGP) (SLU Artdatabanken, 2024; Nitare &amp; Skogsstyrelsen, 2019; Jeppson, 2006).</w:t>
      </w:r>
    </w:p>
    <w:p>
      <w:r>
        <w:rPr>
          <w:b/>
        </w:rPr>
        <w:t xml:space="preserve">Ädellav (VU) </w:t>
      </w:r>
      <w:r>
        <w:t xml:space="preserve">förekommer i kulturmiljöer som lövängar och ädellövträdsdungar på inägomark, skogsmiljöer som ädellövskog samt blandskogar med asp och gran. Luftfuktigheten är alltid hög. Arten är placerad högst upp i Skogsstyrelsens värdepyramid för bedömning av skog med höga naturvärden och lokaler bör skyddas mot slutavverkning och dikning. Ädellav är typisk art för </w:t>
      </w:r>
      <w:r>
        <w:rPr>
          <w:i/>
        </w:rPr>
        <w:t xml:space="preserve">9020 Nordlig ädellövskog, 9070 Trädklädd betesmark </w:t>
      </w:r>
      <w:r>
        <w:t xml:space="preserve">och </w:t>
      </w:r>
      <w:r>
        <w:rPr>
          <w:i/>
        </w:rPr>
        <w:t>9180 Ädellövskog i branter</w:t>
      </w:r>
      <w:r>
        <w:t xml:space="preserve"> (SLU Artdatabanken, 2026; Nitare &amp; Skogsstyrelsen, 2019).</w:t>
      </w:r>
    </w:p>
    <w:p>
      <w:r>
        <w:rPr>
          <w:b/>
        </w:rPr>
        <w:t xml:space="preserve">Bokvedvivel (NT) </w:t>
      </w:r>
      <w:r>
        <w:t>är en skalbagge vars larvutveckling sker i mer eller mindre hård, död ved, ofta på insidan av stamhåligheter i gamla, levande träd. Främst i lövträd som bok, ek, alm, lönn, lind, hästkastanj och asp, i Centraleuropa även i barrträd. Ofta i allé- och parkträd, och gärna i den svagt ammoniakdoftande ved som bildas nära fågelbon i hålträd. Det största hotet mot denna och en mängd andra rödlistade arter är att träd i parker och alléer fälls och fraktas bort. Den hotas också av igenväxningen av gamla naturbetesmarker som ofta hyser lämpliga hålträd (SLU Artdatabanken, 2025).</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 xml:space="preserve">Knottrig rottryffel (NT) </w:t>
      </w:r>
      <w:r>
        <w:t>bildar mykorrhiza med ädellövträd, främst ek. Påträffas i varma lägen i ljusöppen ädellövskog, löväng, hagmark och park på kalkrik mark. Lokalerna bör bevaras i sitt nuvarande skick. Ädellövskog på kalkhaltig mark är en artrik miljö i vilken skogsbruk bör bedrivas med största försiktighet eller helt undvikas vilket gynnar knottrig rottryffel och flera andra hotade och sällsynta svampar (SLU Artdatabanken, 2025).</w:t>
      </w:r>
    </w:p>
    <w:p>
      <w:r>
        <w:rPr>
          <w:b/>
        </w:rPr>
        <w:t>Sårläka (NT)</w:t>
      </w:r>
      <w:r>
        <w:t xml:space="preserve"> växer på mullrik mark i skuggiga eller halvskuggiga lövskogar och lundar men också i örtrika kalkbarrskogar. Arten ingår i en exklusiv lundflora som bara uppträder i de allra rikaste kalkbarrskogarna söder om den biologiska norrlandsgränsen. I ädellövskogar och lundar är den också knuten till områden med en mycket rik mångfald av naturvårdsarter. Enligt Riksskogstaxeringens data förefaller den ha minskat kraftigt (&gt;50%) vilket troligen kan förklaras av det storskaliga skogsbruket med kalhyggen. Sårläka är typisk art för </w:t>
      </w:r>
      <w:r>
        <w:rPr>
          <w:i/>
        </w:rPr>
        <w:t xml:space="preserve">9050 Näringsrik granskog, 9020 Nordlig ädellövskog, 9130 Näringsrik bokskog </w:t>
      </w:r>
      <w:r>
        <w:t xml:space="preserve">och </w:t>
      </w:r>
      <w:r>
        <w:rPr>
          <w:i/>
        </w:rPr>
        <w:t>9160 Näringsrik ekskog</w:t>
      </w:r>
      <w:r>
        <w:t xml:space="preserve"> samt värdväxt för den rödlistade fjärilen sårläkeplattmal (NT) (SLU Artdatabanken, 2026; Nitare &amp; Skogsstyrelsen, 2019).</w:t>
      </w:r>
    </w:p>
    <w:p>
      <w:r>
        <w:rPr>
          <w:b/>
        </w:rPr>
        <w:t xml:space="preserve">Dvärghäxört </w:t>
      </w:r>
      <w:r>
        <w:t xml:space="preserve">är en bra signalart som indikerar skogar med rörligt markvatten, långvarig beskuggning, hög luftfuktighet och näringsrik mark. Arten är mycket känslig för skogsbruksåtgärder och många växtplatser har i sen tid utplånats genom slutavverkning eller dikning. I södra Sverige på lokaler med riklig förekomst av häxörter kan den rödlistade fjärilen häxörtsbrokmal (NT) eftersökas. Larven lever i en vitaktig fläckmina i blad på häxört. Minan är lätt att hitta och den bästa metoden att fastställa förekomst av häxörtsbrokmal är således att söka efter minorna. Dvärghäxört är typisk art för </w:t>
      </w:r>
      <w:r>
        <w:rPr>
          <w:i/>
        </w:rPr>
        <w:t>9080 Lövsumpskog</w:t>
      </w:r>
      <w:r>
        <w:t xml:space="preserve"> (SLU Artdatabanken, 2024; Nitare &amp; Skogsstyrelsen, 2019).</w:t>
      </w:r>
    </w:p>
    <w:p>
      <w:r>
        <w:rPr>
          <w:b/>
        </w:rPr>
        <w:t>Lundvårlök</w:t>
      </w:r>
      <w:r>
        <w:t xml:space="preserve"> visar på skyddsvärda ädellövskogar och lundar, men också på örtrika alkärr och andra lövskogsmiljöer med höga naturvärden. Många av dagens förekomster har en tydlig reliktkaraktär och är troligen mycket gamla kvarlevor från en tid då ädellövskogen hade större utbredning underden postglaciala värmetiden (stenålder-bronsåler). Lundvårlök är typisk art för </w:t>
      </w:r>
      <w:r>
        <w:rPr>
          <w:i/>
        </w:rPr>
        <w:t xml:space="preserve">9750 Svämlövskog </w:t>
      </w:r>
      <w:r>
        <w:t xml:space="preserve">och </w:t>
      </w:r>
      <w:r>
        <w:rPr>
          <w:i/>
        </w:rPr>
        <w:t xml:space="preserve">9760 Svämädellövskog </w:t>
      </w:r>
      <w:r>
        <w:t>(Nitare &amp; Skogsstyrelsen, 2019; SLU Artdatabanken, 2025).</w:t>
      </w:r>
    </w:p>
    <w:p>
      <w:r>
        <w:rPr>
          <w:b/>
        </w:rPr>
        <w:t xml:space="preserve">Myskmadra </w:t>
      </w:r>
      <w:r>
        <w:t xml:space="preserve">är en bra signalart i hela sitt utbredningsområde i såväl lövskogar, lundar som kalkbarrskogar. Särskilt kräsen tycks den vara i norra delen av sitt utbredningsområde. Många naturliga växtplatser är av reliktkaraktär och växten indikerar här långvarig ekologisk kontinuitet. Arten är känslig för såväl hårt bete som dagens storskaliga skogsbruksmetoder. Myskmadra är typisk art för </w:t>
      </w:r>
      <w:r>
        <w:rPr>
          <w:i/>
        </w:rPr>
        <w:t xml:space="preserve">9050 Näringsrik granskog, 9020 Nordlig ädellövskog, 9130 Näringsrik bokskog </w:t>
      </w:r>
      <w:r>
        <w:t xml:space="preserve">och </w:t>
      </w:r>
      <w:r>
        <w:rPr>
          <w:i/>
        </w:rPr>
        <w:t xml:space="preserve">9160 Näringsrik ekskog </w:t>
      </w:r>
      <w:r>
        <w:t>(Nitare &amp; Skogsstyrelsen, 2019; SLU Artdatabanken, 2025).</w:t>
      </w:r>
    </w:p>
    <w:p>
      <w:r>
        <w:rPr>
          <w:b/>
        </w:rPr>
        <w:t>Skogsknipprot (§8)</w:t>
      </w:r>
      <w:r>
        <w:t xml:space="preserve"> är fridlyst enligt 8§ artskyddsförordningen och typisk art för </w:t>
      </w:r>
      <w:r>
        <w:rPr>
          <w:i/>
        </w:rPr>
        <w:t>9050 Näringsrik granskog</w:t>
      </w:r>
      <w:r>
        <w:t xml:space="preserve"> (SLU Artdatabanken, 2025).</w:t>
      </w:r>
    </w:p>
    <w:p>
      <w:r>
        <w:rPr>
          <w:b/>
        </w:rPr>
        <w:t>Svart trolldruva</w:t>
      </w:r>
      <w:r>
        <w:t xml:space="preserve"> är en kalkgynnad växt som förekommer på näringsrik frisk mulljord i såväl bördiga kalkbarrskogar som sydliga kalklövskogar och lundar. Arten är en bra signalart för skyddsvärda biotoper i såväl löv- som barrskogar och tål inte slutavverkning och markberedning. Trolldruva är värdväxt för ett antal sällsynta fjärilsarter som ställer höga krav på sina livsmiljöer, däribland trolldruvemätare (EN), skuggmalmätare (VU) och trolldruvelobmätare (VU). Svart trolldruva är typisk art för </w:t>
      </w:r>
      <w:r>
        <w:rPr>
          <w:i/>
        </w:rPr>
        <w:t>9050 Näringsrik granskog,</w:t>
      </w:r>
      <w:r>
        <w:t xml:space="preserve"> </w:t>
      </w:r>
      <w:r>
        <w:rPr>
          <w:i/>
        </w:rPr>
        <w:t xml:space="preserve">9020 Nordlig ädellövskog, 9160 Näringsrik ekskog, 9180 Ädellövskog i branter </w:t>
      </w:r>
      <w:r>
        <w:t>och</w:t>
      </w:r>
      <w:r>
        <w:rPr>
          <w:i/>
        </w:rPr>
        <w:t xml:space="preserve"> 1610 Åsöar i Östersjön</w:t>
      </w:r>
      <w:r>
        <w:t xml:space="preserve"> (SLU Artdatabanken, 2024; Nitare &amp; Skogsstyrelsen, 2019).</w:t>
      </w:r>
    </w:p>
    <w:p>
      <w:r>
        <w:rPr>
          <w:b/>
        </w:rPr>
        <w:t xml:space="preserve">Vätteros </w:t>
      </w:r>
      <w:r>
        <w:t xml:space="preserve">är typisk art för </w:t>
      </w:r>
      <w:r>
        <w:rPr>
          <w:i/>
        </w:rPr>
        <w:t xml:space="preserve">9020 Nordlig ädellövskog </w:t>
      </w:r>
      <w:r>
        <w:t>och</w:t>
      </w:r>
      <w:r>
        <w:rPr>
          <w:i/>
        </w:rPr>
        <w:t xml:space="preserve"> 9160 Näringsrik ekskog </w:t>
      </w:r>
      <w:r>
        <w:t>(SLU Artdatabanken, 2025).</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r>
        <w:rPr>
          <w:b/>
        </w:rPr>
        <w:t>Gullviva (§9)</w:t>
      </w:r>
      <w:r>
        <w:t xml:space="preserve"> är värdväxt för bland annat den rödlistade och sällsynta fjärilen gullvivefjäril (VU) samt typisk art för </w:t>
      </w:r>
      <w:r>
        <w:rPr>
          <w:i/>
        </w:rPr>
        <w:t xml:space="preserve">9070 Trädklädd betesmark, 6530 Lövängar, 6510 Slåtterängar i låglandet </w:t>
      </w:r>
      <w:r>
        <w:t>och</w:t>
      </w:r>
      <w:r>
        <w:rPr>
          <w:i/>
        </w:rPr>
        <w:t xml:space="preserve"> 6270 Silikatgräsmarker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6.4.1 </w:t>
      </w:r>
      <w:r>
        <w:t>Följande biotoper undantas från alla skogsbruksåtgärder, förutom åtgärder påkallade för att bevara eller främja biotopens naturliga eller hävdbetingade biologiska mångfald:</w:t>
      </w:r>
    </w:p>
    <w:p>
      <w:pPr>
        <w:ind w:left="357"/>
      </w:pPr>
      <w:r>
        <w:t>b) nyckelbiotoper enligt Skogsstyrelsens definition och metod (1995)</w:t>
      </w:r>
    </w:p>
    <w:p>
      <w:pPr>
        <w:pStyle w:val="ListBullet"/>
      </w:pPr>
      <w:r>
        <w:rPr>
          <w:b/>
          <w:i/>
        </w:rPr>
        <w:t xml:space="preserve">Kommentar: </w:t>
      </w:r>
      <w:r>
        <w:rPr>
          <w:i/>
        </w:rPr>
        <w:t>I det samrådsanmälda skogsområdet har 25 rödlistade arter och signalarter påträffats. Detta ska jämföras med Skogsstyrelsens uppföljning 2017 av nyckelbiotoper som visade att man i genomsnitt hittar 20,6 olika rödlistade arter och signalarter i en nyckelbiotop (Wijk, S. 2017. Biologisk mångfald i nyckelbiotoper – Resultat från inventeringen “Uppföljning biologisk mångfald” 2009–2015. Rapport 4/2017 Skogsstyrelsen, Jönköping).</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28 naturvårdsarter varav 13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