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som inkom 2024-06-25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2"/>
      </w:pPr>
      <w:r>
        <w:t>Fridlysta arter</w:t>
      </w:r>
    </w:p>
    <w:p>
      <w:r>
        <w:t>Följande fridlysta arter har sina livsmiljöer och växtplatser i den avverkningsanmälda skogen: ekoxe (S, §6), flugblomster (S, §8), skogsknipprot (S, T, §8), tvåblad (S, §8), kalkkrassing (§7), bredarun (§8), brudsporre (§8), fläcknycklar (§8), grönvit nattviol (§8), johannesnycklar (§8), sankt pers nycklar (§8), ängsnycklar (§8) och gullviva (§9).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