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som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15 naturvårdsarter hittats: höstlåsbräken (NT, §8), loppstarr (NT), majviva (NT), sammetsfrölöpare (NT), murgröna (S, T), skogsknipprot (S, T, §8), tvåblad (S, §8), vit skogslilja (S, §8), ögonpyrola (S, T), halsbandsflugsnappare (§4), vanlig padda (§6), bredarun (§8), fläcknycklar (§8), kärrknipprot (§8)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2"/>
      </w:pPr>
      <w:r>
        <w:t>Fridlysta arter</w:t>
      </w:r>
    </w:p>
    <w:p>
      <w:r>
        <w:t>Följande fridlysta arter har sina livsmiljöer och växtplatser i den avverkningsanmälda skogen: höstlåsbräken (NT, §8), skogsknipprot (S, T, §8), tvåblad (S, §8), vit skogslilja (S, §8), halsbandsflugsnappare (§4), vanlig padda (§6), bredarun (§8), fläcknycklar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