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som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22 naturvårdsarter hittats: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2"/>
      </w:pPr>
      <w:r>
        <w:t>Fridlysta arter</w:t>
      </w:r>
    </w:p>
    <w:p>
      <w:r>
        <w:t>Följande fridlysta arter har sina livsmiljöer och växtplatser i den avverkningsanmälda skogen: hasselsnok (VU, §4a), ekoxe (S, §6), skogsknipprot (S, T, §8), spillkråka (T, §4), gröngöling (§4), långbensgroda (§4a), större vattensalamander (§4a), huggorm (§6), vanlig padda (§6), vanlig snok (§6), bredarun (§8), sankt pers nycklar (§8), silverviol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