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2737-2022 i Borgholms kommun</w:t>
      </w:r>
    </w:p>
    <w:p>
      <w:r>
        <w:t>Detta klagomål behandlar höga naturvärden i samrådsanmälan S 2737-2022 i Borgholms kommun som inkom 2022-05-23 och omfattar 12,6 ha.</w:t>
      </w:r>
    </w:p>
    <w:p>
      <w:pPr>
        <w:pStyle w:val="Caption"/>
      </w:pPr>
      <w:r>
        <w:drawing>
          <wp:inline xmlns:a="http://schemas.openxmlformats.org/drawingml/2006/main" xmlns:pic="http://schemas.openxmlformats.org/drawingml/2006/picture">
            <wp:extent cx="5486400" cy="5620261"/>
            <wp:docPr id="1" name="Picture 1"/>
            <wp:cNvGraphicFramePr>
              <a:graphicFrameLocks noChangeAspect="1"/>
            </wp:cNvGraphicFramePr>
            <a:graphic>
              <a:graphicData uri="http://schemas.openxmlformats.org/drawingml/2006/picture">
                <pic:pic>
                  <pic:nvPicPr>
                    <pic:cNvPr id="0" name="S 2737-2022 karta.png"/>
                    <pic:cNvPicPr/>
                  </pic:nvPicPr>
                  <pic:blipFill>
                    <a:blip r:embed="rId16"/>
                    <a:stretch>
                      <a:fillRect/>
                    </a:stretch>
                  </pic:blipFill>
                  <pic:spPr>
                    <a:xfrm>
                      <a:off x="0" y="0"/>
                      <a:ext cx="5486400" cy="562026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6351855, E 620312 i SWEREF 99 TM.</w:t>
      </w:r>
    </w:p>
    <w:p>
      <w:r>
        <w:t>I samrådsanmälan finns fynd av 6 naturvårdsarter, varav 4 är rödlistade, 1 är fridlyst, 2 är typiska (T) och 2 är signalarter (S): ask (EN), mörk kraterlav (VU), skogskorn (VU, T), orangepudrad klotterlav (NT), ekoxe (S, §6) och guldlockmossa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Mörk kraterlav (VU)</w:t>
      </w:r>
      <w:r>
        <w:t xml:space="preserve"> växer på grov bark av ädellövträd som bok, alm, ask, lönn och ek. Miljöerna varierar från slutna bokskogar och andra ädellövskogar till öppna lövängar, alléer och parkmiljöer. Arten påträffas ofta vid basen av träden, men den förekommer inte sällan även en bit upp på stammen. Miljöerna har lång kontinuitet på gamla träd och tillsammans med mörk kraterlav förekommer ofta andra rödlistade lavar (SLU Artdatabanken, 2024).</w:t>
      </w:r>
    </w:p>
    <w:p>
      <w:r>
        <w:rPr>
          <w:b/>
        </w:rPr>
        <w:t xml:space="preserve">Skogskorn (VU) </w:t>
      </w:r>
      <w:r>
        <w:t xml:space="preserve">är ett mycket sällsynt och värmeälskande lundgräs som växer på kalkhaltig mark i halvöppna ödellövskogar och extremrika kalkbarrskogar. Arten är placerad högst upp i Skogsstyrelsens värdepyramid för bedömning av skog med höga naturvärden. Dess växtplatser bör ej betas eller slutavverkas. Skogskorn är typisk art för </w:t>
      </w:r>
      <w:r>
        <w:rPr>
          <w:i/>
        </w:rPr>
        <w:t>9020 Nordlig ädellövskog</w:t>
      </w:r>
      <w:r>
        <w:t xml:space="preserve"> (SLU Artdatabanken, 2024; Nitare &amp; Skogsstyrelsen, 2019).</w:t>
      </w:r>
    </w:p>
    <w:p>
      <w:r>
        <w:rPr>
          <w:b/>
        </w:rPr>
        <w:t>Orangepudrad klotterlav (NT)</w:t>
      </w:r>
      <w:r>
        <w:t xml:space="preserve"> växer på ved och bark av bok, men även andra lövträd, i skogar och bryn med hög luftfuktighet. Arten förekommer mest i fuktiga och skuggiga, slutna skogar, raviner och branter, oftast på mycket gamla, helt eller delvis döda träd med blottad ved. Den kan även finnas på lite öppnare lokaler men är bunden till skog och lövängar med lång kontinuitet. I Mellansverige växer den i gamla ädellövsskogar med hög luftfuktighet vid basen av lövträd. Arten växer ofta tillsammans med flera andra rödlistade lavar. På lokaler med arten får inte ljus- och fuktighetsförhållanden ändras eller den skogliga kontinuiteten brytas (SLU Artdatabanken, 2026).</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