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2739-2022 i Borgholms kommun</w:t>
      </w:r>
    </w:p>
    <w:p>
      <w:r>
        <w:t>Detta klagomål behandlar höga naturvärden i samrådsanmälan S 2739-2022 i Borgholms kommun som inkom 2022-05-23 och omfattar 15,1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S 2739-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6352379, E 619930 i SWEREF 99 TM.</w:t>
      </w:r>
    </w:p>
    <w:p>
      <w:r>
        <w:t>I och inom 21 meter från samrådsanmälan finns fynd av 31 naturvårdsarter, varav 17 är rödlistade, 4 är fridlysta, 13 är typiska (T) och 12 är signalarter (S): almlav (EN, T), ask (EN), skogsalm (EN), svartoxe (EN), blek kraterlav (VU), skärrande gräshoppa (VU), tårticka (VU, T), ädellav (VU, T), ekticka (NT, T), entita (NT, T, §4), liten sönderfallslav (NT), molnfläcksbock (NT), slät fjällav (NT), stor sotdyna (NT), svinrot (NT), sårläka (NT, T), ängsskära (NT), alsopp (S), blanksvart trämyra (S), ekoxe (S, §6), guldlockmossa (S, T), gulpudrad spiklav (S, T), hasselticka (S, T), havstulpanlav (S, T), läderskål (S), myskmadra (S, T), slät lönnlav (S), vitskivlav (S), vätteros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Molnfläcksbock (NT)</w:t>
      </w:r>
      <w:r>
        <w:t xml:space="preserve"> är en skalbagge vars larvutveckling sker i död, vitrötad, fuktig ved i grenar och klena stamdelar av lövträd, gärna hassel och ek men även bok, avenbok, björk och alm. Arten hotas främst av bristande tillgång på lämplig ved och det är mycket negativt med röjning i områden med gott om gammal hassel och andra lövträd. 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Uttag av hassel, ek och andra ädellövträd som biobränsle bör undvikas så långt det är möjligt. Molnfläcksbock ingår i ett åtgärdsprogram för hotade arter (ÅGP) (SLU Artdatabanken, 2024; Franc, 2013).</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