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29656-2023 i Borgholms kommun</w:t>
      </w:r>
    </w:p>
    <w:p>
      <w:r>
        <w:t>Denna tillsynsbegäran behandlar höga naturvärden i avverkningsanmälan A 29656-2023 i Borgholms kommun som inkom 2023-06-30 och omfattar 4,1 ha.</w:t>
      </w:r>
    </w:p>
    <w:p>
      <w:pPr>
        <w:pStyle w:val="Caption"/>
      </w:pPr>
      <w:r>
        <w:drawing>
          <wp:inline xmlns:a="http://schemas.openxmlformats.org/drawingml/2006/main" xmlns:pic="http://schemas.openxmlformats.org/drawingml/2006/picture">
            <wp:extent cx="5486400" cy="5320035"/>
            <wp:docPr id="1" name="Picture 1"/>
            <wp:cNvGraphicFramePr>
              <a:graphicFrameLocks noChangeAspect="1"/>
            </wp:cNvGraphicFramePr>
            <a:graphic>
              <a:graphicData uri="http://schemas.openxmlformats.org/drawingml/2006/picture">
                <pic:pic>
                  <pic:nvPicPr>
                    <pic:cNvPr id="0" name="A 29656-2023 karta.png"/>
                    <pic:cNvPicPr/>
                  </pic:nvPicPr>
                  <pic:blipFill>
                    <a:blip r:embed="rId16"/>
                    <a:stretch>
                      <a:fillRect/>
                    </a:stretch>
                  </pic:blipFill>
                  <pic:spPr>
                    <a:xfrm>
                      <a:off x="0" y="0"/>
                      <a:ext cx="5486400" cy="5320035"/>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6352829, E 619787 i SWEREF 99 TM.</w:t>
      </w:r>
    </w:p>
    <w:p>
      <w:r>
        <w:t>Inom 22 meter från avverkningsanmälan finns fynd av 10 naturvårdsarter, varav 6 är rödlistade, 2 är typiska (T) och 4 är signalarter (S): blå halmlav (VU), klosterlav (VU), mörk kraterlav (VU), gammelekslav (NT, T), gul dropplav (NT), oxtungssvamp (NT), grå skärelav (S), gulpudrad spiklav (S, T), lönnlav (S) och tvåfläckig praktbagge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 halmlav (VU)</w:t>
      </w:r>
      <w:r>
        <w:t xml:space="preserve"> förekommer huvudsakligen halvöppet eller i skugga på ekar och bokar i ek- eller bokskog, ibland i blandad ädellövskog. På Gotland förekommer arten i ängen och på solexponerade och torra lokaler. Arten växer huvudsakligen på grova stammar, ofta på platser nära vatten. Lokalerna har lång skoglig kontinuitet och hyser andra sällsynta lavar. Arten är känslig för avverkning av gamla träd. Skogsbruket måste anpassas till arten på och i närheten av de lokaler där den finns. På de gotländska lokalerna är en fortsatt hävd önskvärd (SLU Artdatabanken, 2025).</w:t>
      </w:r>
    </w:p>
    <w:p>
      <w:r>
        <w:rPr>
          <w:b/>
        </w:rPr>
        <w:t>Klosterlav (VU)</w:t>
      </w:r>
      <w:r>
        <w:t xml:space="preserve"> växer på grov bark på stammar av framför allt ädellövträd som ask, bok, alm, lönn och lind, men fynd finns även på fläder och knäckepil. Klosterlaven finns både i sluten skog och i halvöppna till öppna miljöer, bl.a. på hamlade träd (solitära eller i löväng), i blandad ädellövskog och i ren bokskog. Arten förekommer vanligen vid basen av träden, men kan växa på upp till två meters höjd. På ljusa lokaler växer laven i sprickor på trädens skuggsida. Lokalerna har lång kontinuitet på gamla träd, hög luftfuktighet och andra rödlistade lavar förekommer ofta tillsammans med klosterlaven. Klosterlaven gynnas av att man sparar skog med lång kontinuitet, gamla vårdträd och lövängar. Alltför snabbt upptagande av hävden av lövängar kan innebära att laven skadas av den snabba förändringen till ett ljusare och torrare lokalklimat (SLU Artdatabanken, 2024).</w:t>
      </w:r>
    </w:p>
    <w:p>
      <w:r>
        <w:rPr>
          <w:b/>
        </w:rPr>
        <w:t>Mörk kraterlav (VU)</w:t>
      </w:r>
      <w:r>
        <w:t xml:space="preserve"> växer på grov bark av ädellövträd som bok, alm, ask, lönn och ek. Miljöerna varierar från slutna bokskogar och andra ädellövskogar till öppna lövängar, alléer och parkmiljöer. Arten påträffas ofta vid basen av träden, men den förekommer inte sällan även en bit upp på stammen. Miljöerna har lång kontinuitet på gamla träd och tillsammans med mörk kraterlav förekommer ofta andra rödlistade lavar (SLU Artdatabanken, 2024).</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