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44885-2025 i Borgholms kommun</w:t>
      </w:r>
    </w:p>
    <w:p>
      <w:r>
        <w:t>Denna tillsynsbegäran behandlar höga naturvärden i avverkningsanmälan A 44885-2025 i Borgholms kommun som inkom 2025-09-18 och omfattar 4,4 ha.</w:t>
      </w:r>
    </w:p>
    <w:p>
      <w:pPr>
        <w:pStyle w:val="Caption"/>
      </w:pPr>
      <w:r>
        <w:drawing>
          <wp:inline xmlns:a="http://schemas.openxmlformats.org/drawingml/2006/main" xmlns:pic="http://schemas.openxmlformats.org/drawingml/2006/picture">
            <wp:extent cx="4779835" cy="5724000"/>
            <wp:docPr id="1" name="Picture 1"/>
            <wp:cNvGraphicFramePr>
              <a:graphicFrameLocks noChangeAspect="1"/>
            </wp:cNvGraphicFramePr>
            <a:graphic>
              <a:graphicData uri="http://schemas.openxmlformats.org/drawingml/2006/picture">
                <pic:pic>
                  <pic:nvPicPr>
                    <pic:cNvPr id="0" name="A 44885-2025 karta.png"/>
                    <pic:cNvPicPr/>
                  </pic:nvPicPr>
                  <pic:blipFill>
                    <a:blip r:embed="rId16"/>
                    <a:stretch>
                      <a:fillRect/>
                    </a:stretch>
                  </pic:blipFill>
                  <pic:spPr>
                    <a:xfrm>
                      <a:off x="0" y="0"/>
                      <a:ext cx="477983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6356573, E 622647 i SWEREF 99 TM.</w:t>
      </w:r>
    </w:p>
    <w:p>
      <w:r>
        <w:t>I och inom 8 meter från avverkningsanmälan finns fynd av 11 naturvårdsarter, varav 5 är rödlistade, 3 är fridlysta, 7 är typiska (T) och 4 är signalarter (S): ask (EN), skogsalm (EN), skogskorn (VU, T), rosa skärelav (NT, T), solvända (NT), murgröna (S, T), myskmadra (S, T), skogsknipprot (S, T, §8), strävlosta (S, T), blåsippa (T, §9)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skogskorn (VU, T), rosa skärelav (NT, T), murgröna (S, T), myskmadra (S, T), skogsknipprot (S, T, §8), strävlosta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