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26160-2024 i Borgholms kommun</w:t>
      </w:r>
    </w:p>
    <w:p>
      <w:r>
        <w:t>Denna tillsynsbegäran behandlar höga naturvärden i avverkningsanmälan A 26160-2024 i Borgholms kommun som inkom 2024-06-25 och omfattar 13,9 ha.</w:t>
      </w:r>
    </w:p>
    <w:p>
      <w:pPr>
        <w:pStyle w:val="Caption"/>
      </w:pPr>
      <w:r>
        <w:drawing>
          <wp:inline xmlns:a="http://schemas.openxmlformats.org/drawingml/2006/main" xmlns:pic="http://schemas.openxmlformats.org/drawingml/2006/picture">
            <wp:extent cx="5486400" cy="4868992"/>
            <wp:docPr id="1" name="Picture 1"/>
            <wp:cNvGraphicFramePr>
              <a:graphicFrameLocks noChangeAspect="1"/>
            </wp:cNvGraphicFramePr>
            <a:graphic>
              <a:graphicData uri="http://schemas.openxmlformats.org/drawingml/2006/picture">
                <pic:pic>
                  <pic:nvPicPr>
                    <pic:cNvPr id="0" name="A 26160-2024 karta.png"/>
                    <pic:cNvPicPr/>
                  </pic:nvPicPr>
                  <pic:blipFill>
                    <a:blip r:embed="rId16"/>
                    <a:stretch>
                      <a:fillRect/>
                    </a:stretch>
                  </pic:blipFill>
                  <pic:spPr>
                    <a:xfrm>
                      <a:off x="0" y="0"/>
                      <a:ext cx="5486400" cy="486899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6292451, E 600671 i SWEREF 99 TM.</w:t>
      </w:r>
    </w:p>
    <w:p>
      <w:r>
        <w:t>I och inom 24 meter från avverkningsanmälan finns fynd av 30 naturvårdsarter, varav 11 är rödlistade, 13 är fridlysta, 7 är typiska (T) och 6 är signalarter (S): lundalm (EN), staketflamlav (VU), backklöver (NT), backruta (NT), korskovall (NT), mindre ekbock (NT), skugglosta (NT), solvända (NT), ängsskära (NT), ängsstarr (NT), åkerrödtoppa (NT), ekoxe (S, §6), flugblomster (S, §8), murgröna (S, T), skogsknipprot (S, T, §8), tvåblad (S, §8), underviol (S, T), bergsslok (T), gulsippa (T), skogsbingel (T), tandrot (T), kalkkrassing (§7), bredarun (§8), brudsporre (§8), fläcknycklar (§8), grönvit nattviol (§8), johannesnycklar (§8), sankt pers nycklar (§8), ängsnycklar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Mindre ekbock (NT)</w:t>
      </w:r>
      <w:r>
        <w:t xml:space="preserve"> är en skalbagge vars larvutveckling sker i nyligen döda grenar och klena stammar av olika lövträd, i Sverige främst ek och hassel men även bok, avenbok, björk, hägg, alm och apel. Arten gynnas av att glesa, lövrika blandskogar med ek och hassel bibehålls öppna och inte växer igen med gran. Främsta hotet är brist på lämplig ved till följd av avverkning av lövskog och uttag av biobränsle. Lövrika biotoper med gammal ek och hassel bör bevaras, och inte avverkas. Mindre ekbock ingår i ett åtgärdsprogram för hotade arter (ÅGP) (SLU Artdatabanken, 2024; Franc, 2013).</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Bergsslok </w:t>
      </w:r>
      <w:r>
        <w:t xml:space="preserve">är typisk art för </w:t>
      </w:r>
      <w:r>
        <w:rPr>
          <w:i/>
        </w:rPr>
        <w:t>9190 Näringsfattig ekskog</w:t>
      </w:r>
      <w:r>
        <w:t xml:space="preserve"> (SLU Artdatabanken, 2025).</w:t>
      </w:r>
    </w:p>
    <w:p>
      <w:r>
        <w:rPr>
          <w:b/>
        </w:rPr>
        <w:t>Gulsippa</w:t>
      </w:r>
      <w:r>
        <w:t xml:space="preserve"> är typisk art för </w:t>
      </w:r>
      <w:r>
        <w:rPr>
          <w:i/>
        </w:rPr>
        <w:t xml:space="preserve">9130 Näringsrik bokskog </w:t>
      </w:r>
      <w:r>
        <w:t xml:space="preserve">och </w:t>
      </w:r>
      <w:r>
        <w:rPr>
          <w:i/>
        </w:rPr>
        <w:t>9160 Näringsrik ekskog</w:t>
      </w:r>
      <w:r>
        <w:t xml:space="preserve"> (SLU Artdatabanken, 2025).</w:t>
      </w:r>
    </w:p>
    <w:p>
      <w:r>
        <w:rPr>
          <w:b/>
        </w:rPr>
        <w:t>Skogsbingel</w:t>
      </w:r>
      <w:r>
        <w:t xml:space="preserve"> är typisk art för </w:t>
      </w:r>
      <w:r>
        <w:rPr>
          <w:i/>
        </w:rPr>
        <w:t xml:space="preserve">9050 Näringsrik granskog, 9020 Nordlig ädellövskog, 9130 Näringsrik bokskog, 9160 Näringsrik ekskog </w:t>
      </w:r>
      <w:r>
        <w:t>och</w:t>
      </w:r>
      <w:r>
        <w:rPr>
          <w:i/>
        </w:rPr>
        <w:t xml:space="preserve"> 9180 Ädellövskog i branter</w:t>
      </w:r>
      <w:r>
        <w:t>. På skogsbingel kan i lundar och lövskogar den rödlistade arten bingeljordloppa (NT) påträffas. Bingeljordloppans larver äter på värdväxtens rötter. Fullbildade individer påträffas främst under vår och försommar. Den är mycket lokal i sitt uppträdande eftersom arten har svagt utvecklade flygvingar och saknar flygförmåga (SLU Artdatabanken, 2026).</w:t>
      </w:r>
    </w:p>
    <w:p>
      <w:r>
        <w:rPr>
          <w:b/>
        </w:rPr>
        <w:t xml:space="preserve">Tandrot </w:t>
      </w:r>
      <w:r>
        <w:t xml:space="preserve">är typisk art för </w:t>
      </w:r>
      <w:r>
        <w:rPr>
          <w:i/>
        </w:rPr>
        <w:t xml:space="preserve">9020 Nordlig ädellövskog </w:t>
      </w:r>
      <w:r>
        <w:t>och</w:t>
      </w:r>
      <w:r>
        <w:rPr>
          <w:i/>
        </w:rPr>
        <w:t xml:space="preserve"> 9130 Näringsrik bokskog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murgröna (S, T), skogsknipprot (S, T, §8), underviol (S, T), bergsslok (T), gulsippa (T), skogsbingel (T) och tandrot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