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33293-2026 i Borgholms kommun</w:t>
      </w:r>
    </w:p>
    <w:p>
      <w:r>
        <w:t>Detta klagomål behandlar höga naturvärden i avverkningsanmälan A 33293-2026 i Borgholms kommun som inkom 2026-08-12 och omfattar 3,8 ha.</w:t>
      </w:r>
    </w:p>
    <w:p>
      <w:pPr>
        <w:pStyle w:val="Caption"/>
      </w:pPr>
      <w:r>
        <w:drawing>
          <wp:inline xmlns:a="http://schemas.openxmlformats.org/drawingml/2006/main" xmlns:pic="http://schemas.openxmlformats.org/drawingml/2006/picture">
            <wp:extent cx="5486400" cy="4556342"/>
            <wp:docPr id="1" name="Picture 1"/>
            <wp:cNvGraphicFramePr>
              <a:graphicFrameLocks noChangeAspect="1"/>
            </wp:cNvGraphicFramePr>
            <a:graphic>
              <a:graphicData uri="http://schemas.openxmlformats.org/drawingml/2006/picture">
                <pic:pic>
                  <pic:nvPicPr>
                    <pic:cNvPr id="0" name="A 33293-2026 karta.png"/>
                    <pic:cNvPicPr/>
                  </pic:nvPicPr>
                  <pic:blipFill>
                    <a:blip r:embed="rId16"/>
                    <a:stretch>
                      <a:fillRect/>
                    </a:stretch>
                  </pic:blipFill>
                  <pic:spPr>
                    <a:xfrm>
                      <a:off x="0" y="0"/>
                      <a:ext cx="5486400" cy="4556342"/>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6347333, E 619360 i SWEREF 99 TM.</w:t>
      </w:r>
    </w:p>
    <w:p>
      <w:r>
        <w:t>I och inom 23 meter från avverkningsanmälan finns fynd av 1 naturvårdsarter, varav 1 är fridlyst, 1 är typisk (T) och 1 är signalart (S): skogsknipprot (S,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Skogsknipprot (§8)</w:t>
      </w:r>
      <w:r>
        <w:t xml:space="preserve"> är fridlyst enligt 8§ artskyddsförordningen och typisk art för </w:t>
      </w:r>
      <w:r>
        <w:rPr>
          <w:i/>
        </w:rPr>
        <w:t>9050 Näringsrik granskog</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