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21908-2022 i Borgholms kommun</w:t>
      </w:r>
    </w:p>
    <w:p>
      <w:r>
        <w:t>Detta klagomål behandlar höga naturvärden i avverkningsanmälan A 21908-2022 i Borgholms kommun som inkom 2022-05-30 och omfattar 4,7 ha.</w:t>
      </w:r>
    </w:p>
    <w:p>
      <w:pPr>
        <w:pStyle w:val="Caption"/>
      </w:pPr>
      <w:r>
        <w:drawing>
          <wp:inline xmlns:a="http://schemas.openxmlformats.org/drawingml/2006/main" xmlns:pic="http://schemas.openxmlformats.org/drawingml/2006/picture">
            <wp:extent cx="5486400" cy="5665509"/>
            <wp:docPr id="1" name="Picture 1"/>
            <wp:cNvGraphicFramePr>
              <a:graphicFrameLocks noChangeAspect="1"/>
            </wp:cNvGraphicFramePr>
            <a:graphic>
              <a:graphicData uri="http://schemas.openxmlformats.org/drawingml/2006/picture">
                <pic:pic>
                  <pic:nvPicPr>
                    <pic:cNvPr id="0" name="A 21908-2022 karta.png"/>
                    <pic:cNvPicPr/>
                  </pic:nvPicPr>
                  <pic:blipFill>
                    <a:blip r:embed="rId16"/>
                    <a:stretch>
                      <a:fillRect/>
                    </a:stretch>
                  </pic:blipFill>
                  <pic:spPr>
                    <a:xfrm>
                      <a:off x="0" y="0"/>
                      <a:ext cx="5486400" cy="5665509"/>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och har ett svart streck som visar fyndplatsens exakta position. Kartans mittpunktskoordinat är N 6348975, E 621256 i SWEREF 99 TM.</w:t>
      </w:r>
    </w:p>
    <w:p>
      <w:r>
        <w:t>Inom 16 meter från avverkningsanmälan finns fynd av 2 naturvårdsarter, varav 1 är fridlyst, 2 är typiska (T) och 2 är signalarter (S): myskmadra (S, T) och skogsknipprot (S,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Myskmadra </w:t>
      </w:r>
      <w:r>
        <w:t xml:space="preserve">är en bra signalart i hela sitt utbredningsområde i såväl lövskogar, lundar som kalkbarrskogar. Särskilt kräsen tycks den vara i norra delen av sitt utbredningsområde. Många naturliga växtplatser är av reliktkaraktär och växten indikerar här långvarig ekologisk kontinuitet. Arten är känslig för såväl hårt bete som dagens storskaliga skogsbruksmetoder. Myskmadra är typisk art för </w:t>
      </w:r>
      <w:r>
        <w:rPr>
          <w:i/>
        </w:rPr>
        <w:t xml:space="preserve">9050 Näringsrik granskog, 9020 Nordlig ädellövskog, 9130 Näringsrik bokskog </w:t>
      </w:r>
      <w:r>
        <w:t xml:space="preserve">och </w:t>
      </w:r>
      <w:r>
        <w:rPr>
          <w:i/>
        </w:rPr>
        <w:t xml:space="preserve">9160 Näringsrik ekskog </w:t>
      </w:r>
      <w:r>
        <w:t>(Nitare &amp; Skogsstyrelsen, 2019; SLU Artdatabanken, 2025).</w:t>
      </w:r>
    </w:p>
    <w:p>
      <w:r>
        <w:rPr>
          <w:b/>
        </w:rPr>
        <w:t>Skogsknipprot (§8)</w:t>
      </w:r>
      <w:r>
        <w:t xml:space="preserve"> är fridlyst enligt 8§ artskyddsförordningen och typisk art för </w:t>
      </w:r>
      <w:r>
        <w:rPr>
          <w:i/>
        </w:rPr>
        <w:t>9050 Näringsrik granskog</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